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37" w:type="dxa"/>
        <w:tblBorders>
          <w:top w:val="single" w:sz="12"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100"/>
        <w:gridCol w:w="1276"/>
      </w:tblGrid>
      <w:tr w:rsidR="00271F7B" w:rsidRPr="00F10029" w14:paraId="15DB53EE" w14:textId="77777777">
        <w:trPr>
          <w:trHeight w:val="95"/>
        </w:trPr>
        <w:tc>
          <w:tcPr>
            <w:tcW w:w="1418" w:type="dxa"/>
            <w:vMerge w:val="restart"/>
          </w:tcPr>
          <w:p w14:paraId="38E4FB34" w14:textId="675C4AE0" w:rsidR="00271F7B" w:rsidRPr="00F10029" w:rsidRDefault="00271F7B" w:rsidP="00D845AA">
            <w:pPr>
              <w:jc w:val="center"/>
              <w:rPr>
                <w:rFonts w:eastAsia="Times New Roman" w:cs="Times New Roman"/>
                <w:b/>
                <w:szCs w:val="24"/>
              </w:rPr>
            </w:pPr>
          </w:p>
        </w:tc>
        <w:tc>
          <w:tcPr>
            <w:tcW w:w="6100" w:type="dxa"/>
            <w:shd w:val="clear" w:color="auto" w:fill="auto"/>
          </w:tcPr>
          <w:p w14:paraId="4385C5DE" w14:textId="77777777" w:rsidR="00271F7B" w:rsidRPr="00F10029" w:rsidRDefault="00271F7B" w:rsidP="00D845AA">
            <w:pPr>
              <w:jc w:val="center"/>
              <w:rPr>
                <w:rFonts w:eastAsia="Times New Roman" w:cs="Times New Roman"/>
                <w:b/>
                <w:sz w:val="10"/>
                <w:szCs w:val="10"/>
                <w:lang w:val="en-US"/>
              </w:rPr>
            </w:pPr>
          </w:p>
        </w:tc>
        <w:tc>
          <w:tcPr>
            <w:tcW w:w="1276" w:type="dxa"/>
            <w:vMerge w:val="restart"/>
            <w:tcBorders>
              <w:top w:val="nil"/>
              <w:bottom w:val="single" w:sz="18" w:space="0" w:color="auto"/>
            </w:tcBorders>
            <w:shd w:val="clear" w:color="auto" w:fill="auto"/>
          </w:tcPr>
          <w:p w14:paraId="7E04B687" w14:textId="77777777" w:rsidR="00271F7B" w:rsidRPr="00F10029" w:rsidRDefault="00271F7B" w:rsidP="00D845AA">
            <w:pPr>
              <w:jc w:val="center"/>
              <w:rPr>
                <w:rFonts w:eastAsia="Times New Roman" w:cs="Times New Roman"/>
                <w:b/>
                <w:szCs w:val="24"/>
              </w:rPr>
            </w:pPr>
          </w:p>
        </w:tc>
      </w:tr>
      <w:tr w:rsidR="00271F7B" w:rsidRPr="00F10029" w14:paraId="266E517A" w14:textId="77777777">
        <w:trPr>
          <w:trHeight w:val="1515"/>
        </w:trPr>
        <w:tc>
          <w:tcPr>
            <w:tcW w:w="1418" w:type="dxa"/>
            <w:vMerge/>
          </w:tcPr>
          <w:p w14:paraId="1A2F80BE" w14:textId="77777777" w:rsidR="00271F7B" w:rsidRPr="00F10029" w:rsidRDefault="00271F7B" w:rsidP="00D845AA">
            <w:pPr>
              <w:jc w:val="center"/>
              <w:rPr>
                <w:rFonts w:eastAsia="Times New Roman" w:cs="Times New Roman"/>
                <w:b/>
                <w:szCs w:val="24"/>
              </w:rPr>
            </w:pPr>
          </w:p>
        </w:tc>
        <w:tc>
          <w:tcPr>
            <w:tcW w:w="6100" w:type="dxa"/>
            <w:shd w:val="clear" w:color="auto" w:fill="D9D9D9"/>
          </w:tcPr>
          <w:p w14:paraId="2B6AC41A" w14:textId="77777777" w:rsidR="00271F7B" w:rsidRPr="00F10029" w:rsidRDefault="00271F7B" w:rsidP="00D845AA">
            <w:pPr>
              <w:jc w:val="center"/>
              <w:rPr>
                <w:rFonts w:cs="Times New Roman"/>
                <w:noProof/>
                <w:sz w:val="22"/>
              </w:rPr>
            </w:pPr>
          </w:p>
          <w:p w14:paraId="39F1F36F" w14:textId="77777777" w:rsidR="00271F7B" w:rsidRPr="00F10029" w:rsidRDefault="008176B0" w:rsidP="00D845AA">
            <w:pPr>
              <w:jc w:val="center"/>
              <w:rPr>
                <w:rFonts w:eastAsia="Times New Roman" w:cs="Times New Roman"/>
                <w:szCs w:val="24"/>
              </w:rPr>
            </w:pPr>
            <w:r w:rsidRPr="00F10029">
              <w:rPr>
                <w:rFonts w:cs="Times New Roman"/>
                <w:noProof/>
                <w:sz w:val="22"/>
              </w:rPr>
              <w:t>Contents list available a</w:t>
            </w:r>
            <w:r w:rsidRPr="00F10029">
              <w:rPr>
                <w:rFonts w:cs="Times New Roman"/>
                <w:noProof/>
                <w:sz w:val="22"/>
                <w:lang w:val="en-US"/>
              </w:rPr>
              <w:t xml:space="preserve">t: </w:t>
            </w:r>
            <w:hyperlink r:id="rId8" w:history="1">
              <w:r w:rsidRPr="00F10029">
                <w:rPr>
                  <w:rStyle w:val="Hyperlink"/>
                  <w:rFonts w:cs="Times New Roman"/>
                  <w:noProof/>
                  <w:sz w:val="22"/>
                  <w:u w:val="none"/>
                  <w:lang w:val="en-US"/>
                </w:rPr>
                <w:t>https://journal.unesa.ac.id</w:t>
              </w:r>
            </w:hyperlink>
          </w:p>
          <w:p w14:paraId="1214C8F0" w14:textId="77777777" w:rsidR="00271F7B" w:rsidRPr="00F10029" w:rsidRDefault="008176B0" w:rsidP="00D845AA">
            <w:pPr>
              <w:pStyle w:val="Header"/>
              <w:tabs>
                <w:tab w:val="clear" w:pos="4680"/>
                <w:tab w:val="clear" w:pos="9360"/>
              </w:tabs>
              <w:ind w:right="28"/>
              <w:jc w:val="center"/>
              <w:rPr>
                <w:rFonts w:cs="Times New Roman"/>
                <w:b/>
                <w:bCs/>
                <w:sz w:val="32"/>
                <w:szCs w:val="32"/>
                <w:lang w:val="en-US"/>
              </w:rPr>
            </w:pPr>
            <w:r w:rsidRPr="00F10029">
              <w:rPr>
                <w:rFonts w:cs="Times New Roman"/>
                <w:b/>
                <w:bCs/>
                <w:noProof/>
                <w:sz w:val="32"/>
                <w:szCs w:val="32"/>
              </w:rPr>
              <w:t>al-Uqud: Journal of Islamic Economics</w:t>
            </w:r>
          </w:p>
          <w:p w14:paraId="426D49F9" w14:textId="77777777" w:rsidR="00271F7B" w:rsidRPr="00F10029" w:rsidRDefault="008176B0" w:rsidP="00D845AA">
            <w:pPr>
              <w:jc w:val="center"/>
              <w:rPr>
                <w:rStyle w:val="Hyperlink"/>
                <w:rFonts w:cs="Times New Roman"/>
                <w:u w:val="none"/>
              </w:rPr>
            </w:pPr>
            <w:bookmarkStart w:id="0" w:name="_Hlk112240007"/>
            <w:r w:rsidRPr="00F10029">
              <w:rPr>
                <w:rFonts w:cs="Times New Roman"/>
                <w:sz w:val="22"/>
                <w:lang w:val="en-US"/>
              </w:rPr>
              <w:t>Journal homepage:</w:t>
            </w:r>
            <w:r w:rsidRPr="00F10029">
              <w:rPr>
                <w:rFonts w:cs="Times New Roman"/>
                <w:sz w:val="22"/>
              </w:rPr>
              <w:t xml:space="preserve"> </w:t>
            </w:r>
            <w:hyperlink r:id="rId9" w:history="1">
              <w:r w:rsidRPr="00F10029">
                <w:rPr>
                  <w:rStyle w:val="Hyperlink"/>
                  <w:rFonts w:cs="Times New Roman"/>
                  <w:u w:val="none"/>
                </w:rPr>
                <w:t>https://journal.unesa.ac.id/index.php/jie</w:t>
              </w:r>
            </w:hyperlink>
            <w:bookmarkEnd w:id="0"/>
          </w:p>
          <w:p w14:paraId="75BBA46E" w14:textId="77777777" w:rsidR="00271F7B" w:rsidRPr="00F10029" w:rsidRDefault="00271F7B" w:rsidP="00D845AA">
            <w:pPr>
              <w:rPr>
                <w:rFonts w:cs="Times New Roman"/>
              </w:rPr>
            </w:pPr>
          </w:p>
        </w:tc>
        <w:tc>
          <w:tcPr>
            <w:tcW w:w="1276" w:type="dxa"/>
            <w:vMerge/>
            <w:tcBorders>
              <w:top w:val="nil"/>
              <w:bottom w:val="single" w:sz="18" w:space="0" w:color="auto"/>
            </w:tcBorders>
            <w:shd w:val="clear" w:color="auto" w:fill="auto"/>
          </w:tcPr>
          <w:p w14:paraId="3A9FFB09" w14:textId="77777777" w:rsidR="00271F7B" w:rsidRPr="00F10029" w:rsidRDefault="00271F7B" w:rsidP="00D845AA">
            <w:pPr>
              <w:jc w:val="center"/>
              <w:rPr>
                <w:rFonts w:eastAsia="Times New Roman" w:cs="Times New Roman"/>
                <w:b/>
                <w:szCs w:val="24"/>
              </w:rPr>
            </w:pPr>
          </w:p>
        </w:tc>
      </w:tr>
      <w:tr w:rsidR="00271F7B" w:rsidRPr="00F10029" w14:paraId="1BF3C783" w14:textId="77777777">
        <w:trPr>
          <w:trHeight w:val="20"/>
        </w:trPr>
        <w:tc>
          <w:tcPr>
            <w:tcW w:w="1418" w:type="dxa"/>
            <w:vMerge/>
          </w:tcPr>
          <w:p w14:paraId="71387A8D" w14:textId="77777777" w:rsidR="00271F7B" w:rsidRPr="00F10029" w:rsidRDefault="00271F7B" w:rsidP="00D845AA">
            <w:pPr>
              <w:jc w:val="center"/>
              <w:rPr>
                <w:rFonts w:eastAsia="Times New Roman" w:cs="Times New Roman"/>
                <w:b/>
                <w:szCs w:val="24"/>
              </w:rPr>
            </w:pPr>
          </w:p>
        </w:tc>
        <w:tc>
          <w:tcPr>
            <w:tcW w:w="6100" w:type="dxa"/>
            <w:shd w:val="clear" w:color="auto" w:fill="auto"/>
          </w:tcPr>
          <w:p w14:paraId="1EC26D22" w14:textId="77777777" w:rsidR="00271F7B" w:rsidRPr="00F10029" w:rsidRDefault="00271F7B" w:rsidP="00D845AA">
            <w:pPr>
              <w:rPr>
                <w:rFonts w:eastAsia="Times New Roman" w:cs="Times New Roman"/>
                <w:b/>
                <w:sz w:val="10"/>
                <w:szCs w:val="10"/>
              </w:rPr>
            </w:pPr>
          </w:p>
        </w:tc>
        <w:tc>
          <w:tcPr>
            <w:tcW w:w="1276" w:type="dxa"/>
            <w:vMerge/>
            <w:tcBorders>
              <w:top w:val="nil"/>
              <w:bottom w:val="single" w:sz="18" w:space="0" w:color="auto"/>
            </w:tcBorders>
          </w:tcPr>
          <w:p w14:paraId="23E17936" w14:textId="77777777" w:rsidR="00271F7B" w:rsidRPr="00F10029" w:rsidRDefault="00271F7B" w:rsidP="00D845AA">
            <w:pPr>
              <w:jc w:val="center"/>
              <w:rPr>
                <w:rFonts w:eastAsia="Times New Roman" w:cs="Times New Roman"/>
                <w:b/>
                <w:szCs w:val="24"/>
              </w:rPr>
            </w:pPr>
          </w:p>
        </w:tc>
      </w:tr>
    </w:tbl>
    <w:p w14:paraId="7239BD96" w14:textId="5AB16557" w:rsidR="00271F7B" w:rsidRPr="00F10029" w:rsidRDefault="00A723FA" w:rsidP="00D845AA">
      <w:pPr>
        <w:spacing w:after="0" w:line="240" w:lineRule="auto"/>
        <w:rPr>
          <w:rFonts w:ascii="Times New Roman" w:eastAsia="Times New Roman" w:hAnsi="Times New Roman" w:cs="Times New Roman"/>
          <w:b/>
          <w:sz w:val="24"/>
          <w:szCs w:val="24"/>
        </w:rPr>
      </w:pPr>
      <w:bookmarkStart w:id="1" w:name="_Hlk116311036"/>
      <w:bookmarkEnd w:id="1"/>
      <w:r w:rsidRPr="00F10029">
        <w:rPr>
          <w:rFonts w:ascii="Times New Roman" w:hAnsi="Times New Roman" w:cs="Times New Roman"/>
          <w:noProof/>
        </w:rPr>
        <w:drawing>
          <wp:anchor distT="0" distB="0" distL="0" distR="0" simplePos="0" relativeHeight="251658240" behindDoc="0" locked="0" layoutInCell="1" allowOverlap="1" wp14:anchorId="029B66B8" wp14:editId="7ACCA808">
            <wp:simplePos x="0" y="0"/>
            <wp:positionH relativeFrom="column">
              <wp:posOffset>31115</wp:posOffset>
            </wp:positionH>
            <wp:positionV relativeFrom="paragraph">
              <wp:posOffset>-1061720</wp:posOffset>
            </wp:positionV>
            <wp:extent cx="923290" cy="899795"/>
            <wp:effectExtent l="0" t="0" r="0" b="0"/>
            <wp:wrapNone/>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srcRect l="19357" t="11605" r="19810" b="29134"/>
                    <a:stretch/>
                  </pic:blipFill>
                  <pic:spPr>
                    <a:xfrm>
                      <a:off x="0" y="0"/>
                      <a:ext cx="923290" cy="899795"/>
                    </a:xfrm>
                    <a:prstGeom prst="rect">
                      <a:avLst/>
                    </a:prstGeom>
                    <a:ln>
                      <a:noFill/>
                    </a:ln>
                  </pic:spPr>
                </pic:pic>
              </a:graphicData>
            </a:graphic>
            <wp14:sizeRelH relativeFrom="margin">
              <wp14:pctWidth>0</wp14:pctWidth>
            </wp14:sizeRelH>
            <wp14:sizeRelV relativeFrom="margin">
              <wp14:pctHeight>0</wp14:pctHeight>
            </wp14:sizeRelV>
          </wp:anchor>
        </w:drawing>
      </w:r>
      <w:r w:rsidR="008176B0" w:rsidRPr="00F10029">
        <w:rPr>
          <w:rFonts w:ascii="Times New Roman" w:hAnsi="Times New Roman" w:cs="Times New Roman"/>
          <w:noProof/>
        </w:rPr>
        <w:drawing>
          <wp:anchor distT="0" distB="0" distL="0" distR="0" simplePos="0" relativeHeight="3" behindDoc="0" locked="0" layoutInCell="1" allowOverlap="1" wp14:anchorId="53CB9B53" wp14:editId="45129EC3">
            <wp:simplePos x="0" y="0"/>
            <wp:positionH relativeFrom="column">
              <wp:posOffset>4932260</wp:posOffset>
            </wp:positionH>
            <wp:positionV relativeFrom="paragraph">
              <wp:posOffset>-1179830</wp:posOffset>
            </wp:positionV>
            <wp:extent cx="743525" cy="1055605"/>
            <wp:effectExtent l="0" t="0" r="0" b="0"/>
            <wp:wrapNone/>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1" cstate="print"/>
                    <a:srcRect/>
                    <a:stretch/>
                  </pic:blipFill>
                  <pic:spPr>
                    <a:xfrm>
                      <a:off x="0" y="0"/>
                      <a:ext cx="743525" cy="1055605"/>
                    </a:xfrm>
                    <a:prstGeom prst="rect">
                      <a:avLst/>
                    </a:prstGeom>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4"/>
        <w:gridCol w:w="284"/>
        <w:gridCol w:w="5244"/>
      </w:tblGrid>
      <w:tr w:rsidR="00271F7B" w:rsidRPr="00F10029" w14:paraId="173C5355" w14:textId="77777777">
        <w:tc>
          <w:tcPr>
            <w:tcW w:w="9062" w:type="dxa"/>
            <w:gridSpan w:val="3"/>
          </w:tcPr>
          <w:p w14:paraId="32244DDC" w14:textId="495D3E5E" w:rsidR="009B2A0A" w:rsidRPr="00F10029" w:rsidRDefault="00765DE3" w:rsidP="008C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2"/>
                <w:szCs w:val="32"/>
              </w:rPr>
            </w:pPr>
            <w:r w:rsidRPr="00F10029">
              <w:rPr>
                <w:b/>
                <w:sz w:val="32"/>
                <w:szCs w:val="32"/>
              </w:rPr>
              <w:t>Resilient finance: Navigating COVID-19 in the Indonesian capital market through an Islamic economic perspective</w:t>
            </w:r>
          </w:p>
          <w:p w14:paraId="29625AB3" w14:textId="77777777" w:rsidR="00765DE3" w:rsidRPr="00F10029" w:rsidRDefault="00765DE3" w:rsidP="008C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 w:val="22"/>
                <w:vertAlign w:val="superscript"/>
                <w:lang w:val="en-US" w:eastAsia="zh-CN"/>
              </w:rPr>
            </w:pPr>
          </w:p>
          <w:p w14:paraId="1BE446AB" w14:textId="1CC05A6E" w:rsidR="00765DE3" w:rsidRPr="00F10029" w:rsidRDefault="00765DE3" w:rsidP="00765DE3">
            <w:pPr>
              <w:pStyle w:val="TableParagraph"/>
              <w:ind w:left="27" w:right="117"/>
              <w:jc w:val="both"/>
              <w:rPr>
                <w:b/>
                <w:vertAlign w:val="superscript"/>
              </w:rPr>
            </w:pPr>
            <w:r w:rsidRPr="00F10029">
              <w:rPr>
                <w:b/>
              </w:rPr>
              <w:t>Puji Sucia Sukmaningrum</w:t>
            </w:r>
            <w:r w:rsidRPr="00F10029">
              <w:rPr>
                <w:b/>
                <w:vertAlign w:val="superscript"/>
              </w:rPr>
              <w:t>1</w:t>
            </w:r>
            <w:r w:rsidRPr="00F10029">
              <w:rPr>
                <w:b/>
                <w:vertAlign w:val="superscript"/>
              </w:rPr>
              <w:t>*</w:t>
            </w:r>
            <w:r w:rsidRPr="00F10029">
              <w:rPr>
                <w:b/>
              </w:rPr>
              <w:t>, Nuradli Ridzwan Shah Bin Mohd Dali</w:t>
            </w:r>
            <w:r w:rsidRPr="00F10029">
              <w:rPr>
                <w:b/>
                <w:vertAlign w:val="superscript"/>
              </w:rPr>
              <w:t>2</w:t>
            </w:r>
            <w:r w:rsidRPr="00F10029">
              <w:rPr>
                <w:b/>
              </w:rPr>
              <w:t>, Muhammad Madyan</w:t>
            </w:r>
            <w:r w:rsidRPr="00F10029">
              <w:rPr>
                <w:b/>
                <w:vertAlign w:val="superscript"/>
              </w:rPr>
              <w:t>3</w:t>
            </w:r>
            <w:r w:rsidRPr="00F10029">
              <w:rPr>
                <w:b/>
              </w:rPr>
              <w:t>, Nisful Laila</w:t>
            </w:r>
            <w:r w:rsidRPr="00F10029">
              <w:rPr>
                <w:b/>
                <w:vertAlign w:val="superscript"/>
              </w:rPr>
              <w:t>4</w:t>
            </w:r>
            <w:r w:rsidRPr="00F10029">
              <w:rPr>
                <w:b/>
              </w:rPr>
              <w:t>, Tika Widiastuti</w:t>
            </w:r>
            <w:r w:rsidRPr="00F10029">
              <w:rPr>
                <w:b/>
                <w:vertAlign w:val="superscript"/>
              </w:rPr>
              <w:t>5</w:t>
            </w:r>
          </w:p>
          <w:p w14:paraId="78598C7B" w14:textId="77777777" w:rsidR="00207EF7" w:rsidRPr="00F10029" w:rsidRDefault="00207EF7" w:rsidP="00D845AA">
            <w:pPr>
              <w:pStyle w:val="TableParagraph"/>
              <w:ind w:left="101"/>
              <w:jc w:val="both"/>
            </w:pPr>
          </w:p>
          <w:p w14:paraId="1E6F4A83" w14:textId="4C901140" w:rsidR="00207EF7" w:rsidRPr="00F10029" w:rsidRDefault="00207EF7" w:rsidP="008C4737">
            <w:pPr>
              <w:pStyle w:val="TableParagraph"/>
              <w:jc w:val="both"/>
              <w:rPr>
                <w:szCs w:val="24"/>
                <w:lang w:val="en-US"/>
              </w:rPr>
            </w:pPr>
            <w:r w:rsidRPr="00F10029">
              <w:rPr>
                <w:szCs w:val="24"/>
                <w:vertAlign w:val="superscript"/>
              </w:rPr>
              <w:t>1</w:t>
            </w:r>
            <w:r w:rsidR="00E22396" w:rsidRPr="00F10029">
              <w:rPr>
                <w:szCs w:val="24"/>
              </w:rPr>
              <w:t xml:space="preserve">Department of </w:t>
            </w:r>
            <w:r w:rsidR="001A07D8" w:rsidRPr="00F10029">
              <w:rPr>
                <w:szCs w:val="24"/>
              </w:rPr>
              <w:t>Islamic Economic</w:t>
            </w:r>
            <w:r w:rsidR="00040323" w:rsidRPr="00F10029">
              <w:rPr>
                <w:szCs w:val="24"/>
              </w:rPr>
              <w:t>s</w:t>
            </w:r>
            <w:r w:rsidR="00E22396" w:rsidRPr="00F10029">
              <w:rPr>
                <w:szCs w:val="24"/>
              </w:rPr>
              <w:t xml:space="preserve">, </w:t>
            </w:r>
            <w:r w:rsidR="001A07D8" w:rsidRPr="00F10029">
              <w:rPr>
                <w:szCs w:val="24"/>
              </w:rPr>
              <w:t>Faculty of Economics</w:t>
            </w:r>
            <w:r w:rsidR="00040323" w:rsidRPr="00F10029">
              <w:rPr>
                <w:szCs w:val="24"/>
              </w:rPr>
              <w:t xml:space="preserve"> and Business</w:t>
            </w:r>
            <w:r w:rsidRPr="00F10029">
              <w:rPr>
                <w:szCs w:val="24"/>
                <w:lang w:val="en-US"/>
              </w:rPr>
              <w:t>,</w:t>
            </w:r>
            <w:r w:rsidR="001A07D8" w:rsidRPr="00F10029">
              <w:rPr>
                <w:szCs w:val="24"/>
                <w:lang w:val="en-US"/>
              </w:rPr>
              <w:t xml:space="preserve"> Universitas Airlangga,</w:t>
            </w:r>
            <w:r w:rsidRPr="00F10029">
              <w:rPr>
                <w:szCs w:val="24"/>
                <w:lang w:val="en-US"/>
              </w:rPr>
              <w:t xml:space="preserve"> Indonesia</w:t>
            </w:r>
          </w:p>
          <w:p w14:paraId="693D318E" w14:textId="225F19B7" w:rsidR="005760ED" w:rsidRPr="00F10029" w:rsidRDefault="009B2A0A" w:rsidP="009B2A0A">
            <w:pPr>
              <w:pStyle w:val="TableParagraph"/>
              <w:jc w:val="both"/>
              <w:rPr>
                <w:szCs w:val="24"/>
              </w:rPr>
            </w:pPr>
            <w:r w:rsidRPr="00F10029">
              <w:rPr>
                <w:szCs w:val="24"/>
                <w:vertAlign w:val="superscript"/>
              </w:rPr>
              <w:t>2</w:t>
            </w:r>
            <w:r w:rsidR="00AC4649" w:rsidRPr="00F10029">
              <w:rPr>
                <w:szCs w:val="24"/>
              </w:rPr>
              <w:t>Faculty of Economics and Muamala</w:t>
            </w:r>
            <w:r w:rsidRPr="00F10029">
              <w:rPr>
                <w:szCs w:val="24"/>
              </w:rPr>
              <w:t xml:space="preserve">, </w:t>
            </w:r>
            <w:r w:rsidR="00765DE3" w:rsidRPr="00F10029">
              <w:rPr>
                <w:szCs w:val="24"/>
              </w:rPr>
              <w:t>Universiti Sains Islam Malaysia, Malaysia</w:t>
            </w:r>
          </w:p>
          <w:p w14:paraId="48AFB194" w14:textId="34A46870" w:rsidR="00241BAD" w:rsidRPr="00F10029" w:rsidRDefault="00241BAD" w:rsidP="00D845AA">
            <w:pPr>
              <w:pStyle w:val="TableParagraph"/>
              <w:ind w:left="161" w:hanging="60"/>
              <w:jc w:val="both"/>
              <w:rPr>
                <w:b/>
                <w:szCs w:val="24"/>
                <w:lang w:val="en-US"/>
              </w:rPr>
            </w:pPr>
          </w:p>
        </w:tc>
      </w:tr>
      <w:tr w:rsidR="00271F7B" w:rsidRPr="00F10029" w14:paraId="56D17F6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534" w:type="dxa"/>
            <w:tcBorders>
              <w:left w:val="nil"/>
              <w:bottom w:val="single" w:sz="8" w:space="0" w:color="auto"/>
              <w:right w:val="nil"/>
            </w:tcBorders>
          </w:tcPr>
          <w:p w14:paraId="0055B22F" w14:textId="77777777" w:rsidR="00271F7B" w:rsidRPr="00F10029" w:rsidRDefault="008176B0" w:rsidP="00D845AA">
            <w:pPr>
              <w:rPr>
                <w:rFonts w:cs="Times New Roman"/>
                <w:b/>
                <w:bCs/>
                <w:i/>
                <w:iCs/>
                <w:color w:val="0E101A"/>
                <w:sz w:val="22"/>
                <w:lang w:val="en-US"/>
              </w:rPr>
            </w:pPr>
            <w:r w:rsidRPr="00F10029">
              <w:rPr>
                <w:rStyle w:val="Emphasis"/>
                <w:rFonts w:cs="Times New Roman"/>
                <w:b/>
                <w:bCs/>
                <w:color w:val="0E101A"/>
                <w:sz w:val="22"/>
                <w:lang w:val="en-US"/>
              </w:rPr>
              <w:t>Article Info</w:t>
            </w:r>
          </w:p>
        </w:tc>
        <w:tc>
          <w:tcPr>
            <w:tcW w:w="284" w:type="dxa"/>
            <w:tcBorders>
              <w:top w:val="nil"/>
              <w:left w:val="nil"/>
              <w:bottom w:val="nil"/>
              <w:right w:val="nil"/>
            </w:tcBorders>
          </w:tcPr>
          <w:p w14:paraId="72A1616E" w14:textId="77777777" w:rsidR="00271F7B" w:rsidRPr="00F10029" w:rsidRDefault="00271F7B" w:rsidP="00D845AA">
            <w:pPr>
              <w:pStyle w:val="NormalWeb"/>
              <w:tabs>
                <w:tab w:val="left" w:pos="1455"/>
              </w:tabs>
              <w:spacing w:before="0" w:beforeAutospacing="0" w:after="0" w:afterAutospacing="0"/>
              <w:jc w:val="both"/>
              <w:rPr>
                <w:rStyle w:val="Emphasis"/>
                <w:b/>
                <w:bCs/>
                <w:color w:val="0E101A"/>
                <w:sz w:val="22"/>
                <w:szCs w:val="22"/>
                <w:lang w:val="en-US"/>
              </w:rPr>
            </w:pPr>
          </w:p>
        </w:tc>
        <w:tc>
          <w:tcPr>
            <w:tcW w:w="5244" w:type="dxa"/>
            <w:tcBorders>
              <w:left w:val="nil"/>
              <w:bottom w:val="single" w:sz="8" w:space="0" w:color="auto"/>
              <w:right w:val="nil"/>
            </w:tcBorders>
          </w:tcPr>
          <w:p w14:paraId="3423A72F" w14:textId="77777777" w:rsidR="00271F7B" w:rsidRPr="00F10029" w:rsidRDefault="008176B0" w:rsidP="00D845AA">
            <w:pPr>
              <w:pStyle w:val="NormalWeb"/>
              <w:tabs>
                <w:tab w:val="left" w:pos="1455"/>
              </w:tabs>
              <w:spacing w:before="0" w:beforeAutospacing="0" w:after="0" w:afterAutospacing="0"/>
              <w:jc w:val="both"/>
              <w:rPr>
                <w:rStyle w:val="Emphasis"/>
                <w:b/>
                <w:bCs/>
                <w:color w:val="0E101A"/>
                <w:sz w:val="22"/>
                <w:szCs w:val="22"/>
                <w:lang w:val="en-US"/>
              </w:rPr>
            </w:pPr>
            <w:r w:rsidRPr="00F10029">
              <w:rPr>
                <w:rStyle w:val="Emphasis"/>
                <w:b/>
                <w:bCs/>
                <w:color w:val="0E101A"/>
                <w:sz w:val="22"/>
                <w:szCs w:val="22"/>
                <w:lang w:val="en-US"/>
              </w:rPr>
              <w:t>Abstract</w:t>
            </w:r>
          </w:p>
        </w:tc>
      </w:tr>
      <w:tr w:rsidR="00271F7B" w:rsidRPr="00F10029" w14:paraId="2638893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534" w:type="dxa"/>
            <w:tcBorders>
              <w:left w:val="nil"/>
              <w:bottom w:val="single" w:sz="8" w:space="0" w:color="auto"/>
              <w:right w:val="nil"/>
            </w:tcBorders>
          </w:tcPr>
          <w:p w14:paraId="3E127222" w14:textId="77777777" w:rsidR="00271F7B" w:rsidRPr="00F10029" w:rsidRDefault="008176B0" w:rsidP="00D845AA">
            <w:pPr>
              <w:jc w:val="both"/>
              <w:rPr>
                <w:rFonts w:eastAsia="Times New Roman" w:cs="Times New Roman"/>
                <w:b/>
                <w:bCs/>
                <w:i/>
                <w:sz w:val="22"/>
              </w:rPr>
            </w:pPr>
            <w:bookmarkStart w:id="2" w:name="_Hlk116424596"/>
            <w:r w:rsidRPr="00F10029">
              <w:rPr>
                <w:rFonts w:eastAsia="Times New Roman" w:cs="Times New Roman"/>
                <w:b/>
                <w:bCs/>
                <w:i/>
                <w:sz w:val="22"/>
              </w:rPr>
              <w:t xml:space="preserve">Paper type: </w:t>
            </w:r>
          </w:p>
          <w:p w14:paraId="64B14DA7" w14:textId="32D5B051" w:rsidR="00271F7B" w:rsidRPr="00F10029" w:rsidRDefault="00612D52" w:rsidP="00D845AA">
            <w:pPr>
              <w:jc w:val="both"/>
              <w:rPr>
                <w:rStyle w:val="Emphasis"/>
                <w:rFonts w:eastAsia="Times New Roman" w:cs="Times New Roman"/>
                <w:iCs w:val="0"/>
                <w:sz w:val="22"/>
              </w:rPr>
            </w:pPr>
            <w:r w:rsidRPr="00F10029">
              <w:rPr>
                <w:rFonts w:eastAsia="Times New Roman" w:cs="Times New Roman"/>
                <w:i/>
                <w:sz w:val="22"/>
              </w:rPr>
              <w:t xml:space="preserve">Research </w:t>
            </w:r>
            <w:r w:rsidR="0013465A" w:rsidRPr="00F10029">
              <w:rPr>
                <w:rFonts w:eastAsia="Times New Roman" w:cs="Times New Roman"/>
                <w:i/>
                <w:sz w:val="22"/>
              </w:rPr>
              <w:t xml:space="preserve">Paper  </w:t>
            </w:r>
          </w:p>
        </w:tc>
        <w:tc>
          <w:tcPr>
            <w:tcW w:w="284" w:type="dxa"/>
            <w:tcBorders>
              <w:top w:val="nil"/>
              <w:left w:val="nil"/>
              <w:bottom w:val="nil"/>
              <w:right w:val="nil"/>
            </w:tcBorders>
          </w:tcPr>
          <w:p w14:paraId="00FCEE91" w14:textId="77777777" w:rsidR="00271F7B" w:rsidRPr="00F10029" w:rsidRDefault="00271F7B" w:rsidP="00D845AA">
            <w:pPr>
              <w:pStyle w:val="NormalWeb"/>
              <w:tabs>
                <w:tab w:val="left" w:pos="1455"/>
              </w:tabs>
              <w:spacing w:before="0" w:beforeAutospacing="0" w:after="0" w:afterAutospacing="0"/>
              <w:jc w:val="both"/>
              <w:rPr>
                <w:rStyle w:val="Emphasis"/>
                <w:b/>
                <w:bCs/>
                <w:color w:val="0E101A"/>
                <w:sz w:val="22"/>
                <w:szCs w:val="22"/>
                <w:lang w:val="en-US"/>
              </w:rPr>
            </w:pPr>
          </w:p>
        </w:tc>
        <w:tc>
          <w:tcPr>
            <w:tcW w:w="5244" w:type="dxa"/>
            <w:vMerge w:val="restart"/>
            <w:tcBorders>
              <w:left w:val="nil"/>
              <w:right w:val="nil"/>
            </w:tcBorders>
          </w:tcPr>
          <w:p w14:paraId="0258DD90" w14:textId="52F12368" w:rsidR="00271F7B" w:rsidRPr="00F10029" w:rsidRDefault="00871C69" w:rsidP="00871C69">
            <w:pPr>
              <w:jc w:val="both"/>
              <w:rPr>
                <w:rStyle w:val="Emphasis"/>
                <w:rFonts w:eastAsia="Times New Roman" w:cs="Times New Roman"/>
                <w:iCs w:val="0"/>
              </w:rPr>
            </w:pPr>
            <w:r w:rsidRPr="00F10029">
              <w:rPr>
                <w:rFonts w:eastAsia="Times New Roman" w:cs="Times New Roman"/>
                <w:i/>
              </w:rPr>
              <w:t>This study examines investor behavior, measured by trading volume activity (TVA) and average abnormal return (AAR), during the COVID-19 pandemic in Indonesia. It provides a comprehensive analysis of the pandemic's impact on four key subsectors: pharmaceuticals, telecommunications, transportation, and food and beverages. Using an event study methodology with daily stock prices and trading volume data, the results reveal varying investor reactions across subsectors. Notably, the pharmaceutical subsector showed significant differences in TVA averages and AAR changes two days before and seven days after the pandemic announcement. In contrast, the food and beverages subsector experienced no significant change in TVA, but notable AAR fluctuations over 11 days. The telecommunications subsector demonstrated significant negative AAR differences post-announcement, despite no TVA changes, while the transportation subsector experienced a negative AAR difference over 11 days with no TVA variations. This detailed sectoral analysis offers valuable insights for stakeholders seeking to understand the differential impact of COVID-19 on various industries.</w:t>
            </w:r>
          </w:p>
        </w:tc>
      </w:tr>
      <w:bookmarkEnd w:id="2"/>
      <w:tr w:rsidR="00271F7B" w:rsidRPr="00F10029" w14:paraId="29121C4D"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69"/>
        </w:trPr>
        <w:tc>
          <w:tcPr>
            <w:tcW w:w="3534" w:type="dxa"/>
            <w:tcBorders>
              <w:left w:val="nil"/>
              <w:bottom w:val="single" w:sz="8" w:space="0" w:color="auto"/>
              <w:right w:val="nil"/>
            </w:tcBorders>
          </w:tcPr>
          <w:p w14:paraId="34371549" w14:textId="77777777" w:rsidR="00F75A5C" w:rsidRPr="00F10029" w:rsidRDefault="008176B0" w:rsidP="00D845AA">
            <w:pPr>
              <w:rPr>
                <w:rStyle w:val="Emphasis"/>
                <w:rFonts w:cs="Times New Roman"/>
                <w:b/>
                <w:bCs/>
                <w:color w:val="0E101A"/>
                <w:sz w:val="22"/>
                <w:lang w:val="en-US"/>
              </w:rPr>
            </w:pPr>
            <w:r w:rsidRPr="00F10029">
              <w:rPr>
                <w:rStyle w:val="Emphasis"/>
                <w:rFonts w:cs="Times New Roman"/>
                <w:b/>
                <w:bCs/>
                <w:color w:val="0E101A"/>
                <w:sz w:val="22"/>
                <w:lang w:val="en-US"/>
              </w:rPr>
              <w:t>Keywords:</w:t>
            </w:r>
          </w:p>
          <w:p w14:paraId="13CABBAB" w14:textId="3B105CD8" w:rsidR="00271F7B" w:rsidRPr="00F10029" w:rsidRDefault="00454BC8" w:rsidP="00D845AA">
            <w:pPr>
              <w:pStyle w:val="TableParagraph"/>
              <w:tabs>
                <w:tab w:val="left" w:pos="3538"/>
              </w:tabs>
              <w:ind w:left="5"/>
              <w:rPr>
                <w:rStyle w:val="Emphasis"/>
                <w:iCs w:val="0"/>
                <w:color w:val="0D0F1A"/>
                <w:sz w:val="22"/>
              </w:rPr>
            </w:pPr>
            <w:r w:rsidRPr="00F10029">
              <w:rPr>
                <w:i/>
                <w:color w:val="0D0F1A"/>
                <w:sz w:val="22"/>
              </w:rPr>
              <w:t>F</w:t>
            </w:r>
            <w:r w:rsidRPr="00F10029">
              <w:rPr>
                <w:i/>
                <w:color w:val="0D0F1A"/>
                <w:sz w:val="22"/>
              </w:rPr>
              <w:t xml:space="preserve">inancial empowerment; </w:t>
            </w:r>
            <w:r w:rsidRPr="00F10029">
              <w:rPr>
                <w:i/>
                <w:color w:val="0D0F1A"/>
                <w:sz w:val="22"/>
              </w:rPr>
              <w:t>E</w:t>
            </w:r>
            <w:r w:rsidRPr="00F10029">
              <w:rPr>
                <w:i/>
                <w:color w:val="0D0F1A"/>
                <w:sz w:val="22"/>
              </w:rPr>
              <w:t xml:space="preserve">vent study; </w:t>
            </w:r>
            <w:r w:rsidRPr="00F10029">
              <w:rPr>
                <w:i/>
                <w:color w:val="0D0F1A"/>
                <w:sz w:val="22"/>
              </w:rPr>
              <w:t>C</w:t>
            </w:r>
            <w:r w:rsidRPr="00F10029">
              <w:rPr>
                <w:i/>
                <w:color w:val="0D0F1A"/>
                <w:sz w:val="22"/>
              </w:rPr>
              <w:t xml:space="preserve">ovid-19; </w:t>
            </w:r>
            <w:r w:rsidRPr="00F10029">
              <w:rPr>
                <w:i/>
                <w:color w:val="0D0F1A"/>
                <w:sz w:val="22"/>
              </w:rPr>
              <w:t>S</w:t>
            </w:r>
            <w:r w:rsidRPr="00F10029">
              <w:rPr>
                <w:i/>
                <w:color w:val="0D0F1A"/>
                <w:sz w:val="22"/>
              </w:rPr>
              <w:t xml:space="preserve">tock price; </w:t>
            </w:r>
            <w:r w:rsidRPr="00F10029">
              <w:rPr>
                <w:i/>
                <w:color w:val="0D0F1A"/>
                <w:sz w:val="22"/>
              </w:rPr>
              <w:t>I</w:t>
            </w:r>
            <w:r w:rsidRPr="00F10029">
              <w:rPr>
                <w:i/>
                <w:color w:val="0D0F1A"/>
                <w:sz w:val="22"/>
              </w:rPr>
              <w:t xml:space="preserve">nvestor behavior; </w:t>
            </w:r>
            <w:r w:rsidRPr="00F10029">
              <w:rPr>
                <w:i/>
                <w:color w:val="0D0F1A"/>
                <w:sz w:val="22"/>
              </w:rPr>
              <w:t>A</w:t>
            </w:r>
            <w:r w:rsidRPr="00F10029">
              <w:rPr>
                <w:i/>
                <w:color w:val="0D0F1A"/>
                <w:sz w:val="22"/>
              </w:rPr>
              <w:t>bnormal return</w:t>
            </w:r>
          </w:p>
        </w:tc>
        <w:tc>
          <w:tcPr>
            <w:tcW w:w="284" w:type="dxa"/>
            <w:tcBorders>
              <w:top w:val="nil"/>
              <w:left w:val="nil"/>
              <w:bottom w:val="nil"/>
              <w:right w:val="nil"/>
            </w:tcBorders>
          </w:tcPr>
          <w:p w14:paraId="638E4106" w14:textId="77777777" w:rsidR="00271F7B" w:rsidRPr="00F10029" w:rsidRDefault="00271F7B" w:rsidP="00D845AA">
            <w:pPr>
              <w:pStyle w:val="NormalWeb"/>
              <w:tabs>
                <w:tab w:val="left" w:pos="1455"/>
              </w:tabs>
              <w:spacing w:before="0" w:beforeAutospacing="0" w:after="0" w:afterAutospacing="0"/>
              <w:jc w:val="both"/>
              <w:rPr>
                <w:rStyle w:val="Emphasis"/>
                <w:b/>
                <w:bCs/>
                <w:color w:val="0E101A"/>
                <w:sz w:val="22"/>
                <w:szCs w:val="22"/>
                <w:lang w:val="en-US"/>
              </w:rPr>
            </w:pPr>
          </w:p>
        </w:tc>
        <w:tc>
          <w:tcPr>
            <w:tcW w:w="5244" w:type="dxa"/>
            <w:vMerge/>
            <w:tcBorders>
              <w:left w:val="nil"/>
              <w:right w:val="nil"/>
            </w:tcBorders>
          </w:tcPr>
          <w:p w14:paraId="63615BF8" w14:textId="77777777" w:rsidR="00271F7B" w:rsidRPr="00F10029" w:rsidRDefault="00271F7B" w:rsidP="00D845AA">
            <w:pPr>
              <w:pStyle w:val="NormalWeb"/>
              <w:tabs>
                <w:tab w:val="left" w:pos="1455"/>
              </w:tabs>
              <w:spacing w:before="0" w:beforeAutospacing="0" w:after="0" w:afterAutospacing="0"/>
              <w:jc w:val="both"/>
              <w:rPr>
                <w:rStyle w:val="Emphasis"/>
                <w:b/>
                <w:bCs/>
                <w:color w:val="0E101A"/>
                <w:sz w:val="22"/>
                <w:szCs w:val="22"/>
                <w:lang w:val="en-US"/>
              </w:rPr>
            </w:pPr>
          </w:p>
        </w:tc>
      </w:tr>
      <w:tr w:rsidR="00271F7B" w:rsidRPr="00F10029" w14:paraId="340752CD"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534" w:type="dxa"/>
            <w:tcBorders>
              <w:left w:val="nil"/>
              <w:bottom w:val="single" w:sz="8" w:space="0" w:color="auto"/>
              <w:right w:val="nil"/>
            </w:tcBorders>
          </w:tcPr>
          <w:p w14:paraId="36D47C55" w14:textId="77777777" w:rsidR="00271F7B" w:rsidRPr="00F10029" w:rsidRDefault="008176B0" w:rsidP="00D845AA">
            <w:pPr>
              <w:rPr>
                <w:rStyle w:val="Emphasis"/>
                <w:rFonts w:cs="Times New Roman"/>
                <w:b/>
                <w:color w:val="0E101A"/>
                <w:sz w:val="22"/>
                <w:lang w:val="en-US"/>
              </w:rPr>
            </w:pPr>
            <w:r w:rsidRPr="00F10029">
              <w:rPr>
                <w:rStyle w:val="Emphasis"/>
                <w:rFonts w:cs="Times New Roman"/>
                <w:b/>
                <w:color w:val="0E101A"/>
                <w:sz w:val="22"/>
                <w:lang w:val="en-US"/>
              </w:rPr>
              <w:t>Article history:</w:t>
            </w:r>
          </w:p>
          <w:p w14:paraId="2ECE8030" w14:textId="778E3E92" w:rsidR="00FC2E8A" w:rsidRPr="00F10029" w:rsidRDefault="00FC2E8A" w:rsidP="00FC2E8A">
            <w:pPr>
              <w:rPr>
                <w:rFonts w:eastAsia="Times New Roman" w:cs="Times New Roman"/>
                <w:bCs/>
                <w:i/>
                <w:iCs/>
                <w:sz w:val="22"/>
                <w:lang w:val="en-US"/>
              </w:rPr>
            </w:pPr>
            <w:r w:rsidRPr="00F10029">
              <w:rPr>
                <w:rFonts w:eastAsia="Times New Roman" w:cs="Times New Roman"/>
                <w:bCs/>
                <w:i/>
                <w:iCs/>
                <w:sz w:val="22"/>
                <w:lang w:val="en-US"/>
              </w:rPr>
              <w:t>Received: 0</w:t>
            </w:r>
            <w:r w:rsidR="00E347BE" w:rsidRPr="00F10029">
              <w:rPr>
                <w:rFonts w:eastAsia="Times New Roman" w:cs="Times New Roman"/>
                <w:bCs/>
                <w:i/>
                <w:iCs/>
                <w:sz w:val="22"/>
                <w:lang w:val="en-US"/>
              </w:rPr>
              <w:t>6</w:t>
            </w:r>
            <w:r w:rsidRPr="00F10029">
              <w:rPr>
                <w:rFonts w:eastAsia="Times New Roman" w:cs="Times New Roman"/>
                <w:bCs/>
                <w:i/>
                <w:iCs/>
                <w:sz w:val="22"/>
                <w:lang w:val="en-US"/>
              </w:rPr>
              <w:t xml:space="preserve"> </w:t>
            </w:r>
            <w:r w:rsidRPr="00F10029">
              <w:rPr>
                <w:rFonts w:eastAsia="Times New Roman" w:cs="Times New Roman"/>
                <w:bCs/>
                <w:i/>
                <w:iCs/>
                <w:sz w:val="22"/>
                <w:lang w:val="en-US"/>
              </w:rPr>
              <w:t>May</w:t>
            </w:r>
            <w:r w:rsidRPr="00F10029">
              <w:rPr>
                <w:rFonts w:eastAsia="Times New Roman" w:cs="Times New Roman"/>
                <w:bCs/>
                <w:i/>
                <w:iCs/>
                <w:sz w:val="22"/>
                <w:lang w:val="en-US"/>
              </w:rPr>
              <w:t xml:space="preserve"> 202</w:t>
            </w:r>
            <w:r w:rsidR="00E347BE" w:rsidRPr="00F10029">
              <w:rPr>
                <w:rFonts w:eastAsia="Times New Roman" w:cs="Times New Roman"/>
                <w:bCs/>
                <w:i/>
                <w:iCs/>
                <w:sz w:val="22"/>
                <w:lang w:val="en-US"/>
              </w:rPr>
              <w:t>3</w:t>
            </w:r>
          </w:p>
          <w:p w14:paraId="7A8EC241" w14:textId="630C0DBF" w:rsidR="00CB06F8" w:rsidRPr="00F10029" w:rsidRDefault="00CB06F8" w:rsidP="00CB06F8">
            <w:pPr>
              <w:rPr>
                <w:rFonts w:eastAsia="Times New Roman" w:cs="Times New Roman"/>
                <w:bCs/>
                <w:i/>
                <w:iCs/>
                <w:sz w:val="22"/>
                <w:lang w:val="en-US"/>
              </w:rPr>
            </w:pPr>
            <w:r w:rsidRPr="00F10029">
              <w:rPr>
                <w:rFonts w:eastAsia="Times New Roman" w:cs="Times New Roman"/>
                <w:bCs/>
                <w:i/>
                <w:iCs/>
                <w:sz w:val="22"/>
                <w:lang w:val="en-US"/>
              </w:rPr>
              <w:t xml:space="preserve">Revised: 30 </w:t>
            </w:r>
            <w:r w:rsidRPr="00F10029">
              <w:rPr>
                <w:rFonts w:eastAsia="Times New Roman" w:cs="Times New Roman"/>
                <w:bCs/>
                <w:i/>
                <w:iCs/>
                <w:sz w:val="22"/>
                <w:lang w:val="en-US"/>
              </w:rPr>
              <w:t>November</w:t>
            </w:r>
            <w:r w:rsidRPr="00F10029">
              <w:rPr>
                <w:rFonts w:eastAsia="Times New Roman" w:cs="Times New Roman"/>
                <w:bCs/>
                <w:i/>
                <w:iCs/>
                <w:sz w:val="22"/>
                <w:lang w:val="en-US"/>
              </w:rPr>
              <w:t xml:space="preserve"> 202</w:t>
            </w:r>
            <w:r w:rsidRPr="00F10029">
              <w:rPr>
                <w:rFonts w:eastAsia="Times New Roman" w:cs="Times New Roman"/>
                <w:bCs/>
                <w:i/>
                <w:iCs/>
                <w:sz w:val="22"/>
                <w:lang w:val="en-US"/>
              </w:rPr>
              <w:t>3</w:t>
            </w:r>
          </w:p>
          <w:p w14:paraId="43188FFF" w14:textId="75578FFA" w:rsidR="00FC2E8A" w:rsidRPr="00F10029" w:rsidRDefault="00FC2E8A" w:rsidP="00FC2E8A">
            <w:pPr>
              <w:rPr>
                <w:rFonts w:eastAsia="Times New Roman" w:cs="Times New Roman"/>
                <w:bCs/>
                <w:i/>
                <w:iCs/>
                <w:sz w:val="22"/>
                <w:lang w:val="en-US"/>
              </w:rPr>
            </w:pPr>
            <w:r w:rsidRPr="00F10029">
              <w:rPr>
                <w:rFonts w:eastAsia="Times New Roman" w:cs="Times New Roman"/>
                <w:bCs/>
                <w:i/>
                <w:iCs/>
                <w:sz w:val="22"/>
                <w:lang w:val="en-US"/>
              </w:rPr>
              <w:t>Revised: 30 Ju</w:t>
            </w:r>
            <w:r w:rsidR="00CB06F8" w:rsidRPr="00F10029">
              <w:rPr>
                <w:rFonts w:eastAsia="Times New Roman" w:cs="Times New Roman"/>
                <w:bCs/>
                <w:i/>
                <w:iCs/>
                <w:sz w:val="22"/>
                <w:lang w:val="en-US"/>
              </w:rPr>
              <w:t>n</w:t>
            </w:r>
            <w:r w:rsidRPr="00F10029">
              <w:rPr>
                <w:rFonts w:eastAsia="Times New Roman" w:cs="Times New Roman"/>
                <w:bCs/>
                <w:i/>
                <w:iCs/>
                <w:sz w:val="22"/>
                <w:lang w:val="en-US"/>
              </w:rPr>
              <w:t>y 2024</w:t>
            </w:r>
          </w:p>
          <w:p w14:paraId="20590C52" w14:textId="77777777" w:rsidR="00FC2E8A" w:rsidRPr="00F10029" w:rsidRDefault="00FC2E8A" w:rsidP="00FC2E8A">
            <w:pPr>
              <w:rPr>
                <w:rFonts w:eastAsia="Times New Roman" w:cs="Times New Roman"/>
                <w:bCs/>
                <w:i/>
                <w:iCs/>
                <w:sz w:val="22"/>
                <w:lang w:val="en-US"/>
              </w:rPr>
            </w:pPr>
            <w:r w:rsidRPr="00F10029">
              <w:rPr>
                <w:rFonts w:eastAsia="Times New Roman" w:cs="Times New Roman"/>
                <w:bCs/>
                <w:i/>
                <w:iCs/>
                <w:sz w:val="22"/>
                <w:lang w:val="en-US"/>
              </w:rPr>
              <w:t>Accepted: 30 July 2024</w:t>
            </w:r>
          </w:p>
          <w:p w14:paraId="133A61BC" w14:textId="77777777" w:rsidR="00FC2E8A" w:rsidRPr="00F10029" w:rsidRDefault="00FC2E8A" w:rsidP="00FC2E8A">
            <w:pPr>
              <w:rPr>
                <w:rStyle w:val="Emphasis"/>
                <w:rFonts w:cs="Times New Roman"/>
                <w:i w:val="0"/>
                <w:iCs w:val="0"/>
                <w:sz w:val="22"/>
                <w:lang w:val="en-US"/>
              </w:rPr>
            </w:pPr>
            <w:r w:rsidRPr="00F10029">
              <w:rPr>
                <w:rStyle w:val="Emphasis"/>
                <w:rFonts w:cs="Times New Roman"/>
                <w:sz w:val="22"/>
              </w:rPr>
              <w:t>Available online</w:t>
            </w:r>
            <w:r w:rsidRPr="00F10029">
              <w:rPr>
                <w:rStyle w:val="Emphasis"/>
                <w:rFonts w:cs="Times New Roman"/>
                <w:i w:val="0"/>
                <w:iCs w:val="0"/>
                <w:sz w:val="22"/>
                <w:lang w:val="en-US"/>
              </w:rPr>
              <w:t xml:space="preserve">: </w:t>
            </w:r>
            <w:r w:rsidRPr="00F10029">
              <w:rPr>
                <w:rFonts w:eastAsia="Times New Roman"/>
                <w:bCs/>
                <w:i/>
                <w:iCs/>
                <w:sz w:val="22"/>
              </w:rPr>
              <w:t>03</w:t>
            </w:r>
            <w:r w:rsidRPr="00F10029">
              <w:rPr>
                <w:rFonts w:eastAsia="Times New Roman" w:cs="Times New Roman"/>
                <w:bCs/>
                <w:i/>
                <w:iCs/>
                <w:sz w:val="22"/>
                <w:lang w:val="en-US"/>
              </w:rPr>
              <w:t xml:space="preserve"> December 2024</w:t>
            </w:r>
          </w:p>
          <w:p w14:paraId="4145E4E5" w14:textId="77777777" w:rsidR="00271F7B" w:rsidRPr="00F10029" w:rsidRDefault="00271F7B" w:rsidP="00D845AA">
            <w:pPr>
              <w:jc w:val="both"/>
              <w:rPr>
                <w:rStyle w:val="Emphasis"/>
                <w:rFonts w:cs="Times New Roman"/>
                <w:color w:val="0E101A"/>
                <w:sz w:val="22"/>
                <w:lang w:val="en-US"/>
              </w:rPr>
            </w:pPr>
          </w:p>
        </w:tc>
        <w:tc>
          <w:tcPr>
            <w:tcW w:w="284" w:type="dxa"/>
            <w:tcBorders>
              <w:top w:val="nil"/>
              <w:left w:val="nil"/>
              <w:bottom w:val="single" w:sz="8" w:space="0" w:color="auto"/>
              <w:right w:val="nil"/>
            </w:tcBorders>
          </w:tcPr>
          <w:p w14:paraId="316AEB67" w14:textId="77777777" w:rsidR="00271F7B" w:rsidRPr="00F10029" w:rsidRDefault="00271F7B" w:rsidP="00D845AA">
            <w:pPr>
              <w:pStyle w:val="NormalWeb"/>
              <w:tabs>
                <w:tab w:val="left" w:pos="1455"/>
              </w:tabs>
              <w:spacing w:before="0" w:beforeAutospacing="0" w:after="0" w:afterAutospacing="0"/>
              <w:jc w:val="both"/>
              <w:rPr>
                <w:rStyle w:val="Emphasis"/>
                <w:b/>
                <w:bCs/>
                <w:color w:val="0E101A"/>
                <w:sz w:val="22"/>
                <w:szCs w:val="22"/>
                <w:lang w:val="en-US"/>
              </w:rPr>
            </w:pPr>
          </w:p>
        </w:tc>
        <w:tc>
          <w:tcPr>
            <w:tcW w:w="5244" w:type="dxa"/>
            <w:vMerge/>
            <w:tcBorders>
              <w:left w:val="nil"/>
              <w:bottom w:val="single" w:sz="8" w:space="0" w:color="auto"/>
              <w:right w:val="nil"/>
            </w:tcBorders>
          </w:tcPr>
          <w:p w14:paraId="6DD58976" w14:textId="77777777" w:rsidR="00271F7B" w:rsidRPr="00F10029" w:rsidRDefault="00271F7B" w:rsidP="00D845AA">
            <w:pPr>
              <w:pStyle w:val="NormalWeb"/>
              <w:tabs>
                <w:tab w:val="left" w:pos="1455"/>
              </w:tabs>
              <w:spacing w:before="0" w:beforeAutospacing="0" w:after="0" w:afterAutospacing="0"/>
              <w:jc w:val="both"/>
              <w:rPr>
                <w:rStyle w:val="Emphasis"/>
                <w:b/>
                <w:bCs/>
                <w:color w:val="0E101A"/>
                <w:sz w:val="22"/>
                <w:szCs w:val="22"/>
                <w:lang w:val="en-US"/>
              </w:rPr>
            </w:pPr>
          </w:p>
        </w:tc>
      </w:tr>
      <w:tr w:rsidR="00271F7B" w:rsidRPr="00F10029" w14:paraId="6D006E93"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9062" w:type="dxa"/>
            <w:gridSpan w:val="3"/>
            <w:tcBorders>
              <w:left w:val="nil"/>
              <w:right w:val="nil"/>
            </w:tcBorders>
          </w:tcPr>
          <w:p w14:paraId="26687D35" w14:textId="2C8D3AB6" w:rsidR="00521218" w:rsidRPr="00F10029" w:rsidRDefault="008176B0" w:rsidP="00D845AA">
            <w:pPr>
              <w:jc w:val="both"/>
              <w:rPr>
                <w:rFonts w:cs="Times New Roman"/>
                <w:sz w:val="22"/>
              </w:rPr>
            </w:pPr>
            <w:r w:rsidRPr="00F10029">
              <w:rPr>
                <w:rFonts w:cs="Times New Roman"/>
                <w:sz w:val="22"/>
              </w:rPr>
              <w:t>*Corresponding author:</w:t>
            </w:r>
            <w:r w:rsidR="003A0E6E" w:rsidRPr="00F10029">
              <w:rPr>
                <w:rFonts w:cs="Times New Roman"/>
              </w:rPr>
              <w:t xml:space="preserve"> </w:t>
            </w:r>
            <w:hyperlink r:id="rId12" w:history="1">
              <w:r w:rsidR="00521218" w:rsidRPr="00F10029">
                <w:rPr>
                  <w:rStyle w:val="Hyperlink"/>
                  <w:rFonts w:cs="Times New Roman"/>
                  <w:sz w:val="22"/>
                  <w:u w:val="none"/>
                </w:rPr>
                <w:t>puji.sucia@feb.unair.ac.id</w:t>
              </w:r>
            </w:hyperlink>
          </w:p>
          <w:p w14:paraId="2F85B0F1" w14:textId="5DB290C3" w:rsidR="005E18D0" w:rsidRPr="00F10029" w:rsidRDefault="008176B0" w:rsidP="00D845AA">
            <w:pPr>
              <w:jc w:val="both"/>
              <w:rPr>
                <w:rFonts w:cs="Times New Roman"/>
                <w:sz w:val="22"/>
              </w:rPr>
            </w:pPr>
            <w:r w:rsidRPr="00F10029">
              <w:rPr>
                <w:rFonts w:cs="Times New Roman"/>
                <w:sz w:val="22"/>
              </w:rPr>
              <w:t>Please cite this article</w:t>
            </w:r>
            <w:r w:rsidRPr="00F10029">
              <w:rPr>
                <w:rFonts w:cs="Times New Roman"/>
                <w:sz w:val="22"/>
                <w:lang w:val="en-US"/>
              </w:rPr>
              <w:t xml:space="preserve"> </w:t>
            </w:r>
            <w:r w:rsidRPr="00F10029">
              <w:rPr>
                <w:rFonts w:cs="Times New Roman"/>
                <w:sz w:val="22"/>
              </w:rPr>
              <w:t xml:space="preserve">in </w:t>
            </w:r>
            <w:r w:rsidRPr="00F10029">
              <w:rPr>
                <w:rFonts w:cs="Times New Roman"/>
                <w:sz w:val="22"/>
                <w:lang w:val="en-US"/>
              </w:rPr>
              <w:t>APA</w:t>
            </w:r>
            <w:r w:rsidRPr="00F10029">
              <w:rPr>
                <w:rFonts w:cs="Times New Roman"/>
                <w:sz w:val="22"/>
              </w:rPr>
              <w:t xml:space="preserve"> style as:</w:t>
            </w:r>
            <w:r w:rsidR="006064E8" w:rsidRPr="00F10029">
              <w:rPr>
                <w:rFonts w:cs="Times New Roman"/>
                <w:sz w:val="22"/>
              </w:rPr>
              <w:t xml:space="preserve"> </w:t>
            </w:r>
          </w:p>
          <w:p w14:paraId="59B417C3" w14:textId="351AA2C9" w:rsidR="003E4A72" w:rsidRPr="008E1C6E" w:rsidRDefault="008E1C6E" w:rsidP="00C05EF9">
            <w:pPr>
              <w:jc w:val="both"/>
              <w:rPr>
                <w:rStyle w:val="Emphasis"/>
                <w:rFonts w:cs="Times New Roman"/>
                <w:i w:val="0"/>
                <w:iCs w:val="0"/>
                <w:sz w:val="22"/>
              </w:rPr>
            </w:pPr>
            <w:r w:rsidRPr="008E1C6E">
              <w:rPr>
                <w:rFonts w:cs="Times New Roman"/>
                <w:sz w:val="22"/>
                <w:shd w:val="clear" w:color="auto" w:fill="FFFFFF"/>
              </w:rPr>
              <w:t>Sukmaningrum, P. S., Bin Mohd Dali, N. R. S. ., Madyan, M. ., Laila, N. ., &amp; Widiastuti, T. . (2024). Resilient finance: Navigating COVID-19 in the Indonesian capital market through an Islamic economic perspective. </w:t>
            </w:r>
            <w:r w:rsidR="003F10E1">
              <w:rPr>
                <w:rFonts w:cs="Times New Roman"/>
                <w:sz w:val="22"/>
                <w:shd w:val="clear" w:color="auto" w:fill="FFFFFF"/>
              </w:rPr>
              <w:t xml:space="preserve"> </w:t>
            </w:r>
            <w:r w:rsidRPr="008E1C6E">
              <w:rPr>
                <w:rFonts w:cs="Times New Roman"/>
                <w:i/>
                <w:iCs/>
                <w:sz w:val="22"/>
                <w:shd w:val="clear" w:color="auto" w:fill="FFFFFF"/>
              </w:rPr>
              <w:t>Al-Uqud:Journal of Islamic Economics</w:t>
            </w:r>
            <w:r w:rsidRPr="008E1C6E">
              <w:rPr>
                <w:rFonts w:cs="Times New Roman"/>
                <w:sz w:val="22"/>
                <w:shd w:val="clear" w:color="auto" w:fill="FFFFFF"/>
              </w:rPr>
              <w:t>, </w:t>
            </w:r>
            <w:r w:rsidRPr="008E1C6E">
              <w:rPr>
                <w:rFonts w:cs="Times New Roman"/>
                <w:i/>
                <w:iCs/>
                <w:sz w:val="22"/>
                <w:shd w:val="clear" w:color="auto" w:fill="FFFFFF"/>
              </w:rPr>
              <w:t>8</w:t>
            </w:r>
            <w:r w:rsidRPr="008E1C6E">
              <w:rPr>
                <w:rFonts w:cs="Times New Roman"/>
                <w:sz w:val="22"/>
                <w:shd w:val="clear" w:color="auto" w:fill="FFFFFF"/>
              </w:rPr>
              <w:t xml:space="preserve">(2), 239–254. </w:t>
            </w:r>
            <w:hyperlink r:id="rId13" w:history="1">
              <w:r w:rsidRPr="003F10E1">
                <w:rPr>
                  <w:rStyle w:val="Hyperlink"/>
                  <w:rFonts w:cs="Times New Roman"/>
                  <w:sz w:val="22"/>
                  <w:u w:val="none"/>
                  <w:shd w:val="clear" w:color="auto" w:fill="FFFFFF"/>
                </w:rPr>
                <w:t>https://doi.org/10.26740/al-uqud.v8n2.p239-254</w:t>
              </w:r>
            </w:hyperlink>
          </w:p>
        </w:tc>
      </w:tr>
    </w:tbl>
    <w:p w14:paraId="1416C617" w14:textId="77777777" w:rsidR="005C124F" w:rsidRPr="00F10029" w:rsidRDefault="005C124F" w:rsidP="00D845A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D0AE0B6" w14:textId="278AD4E9" w:rsidR="0009766C" w:rsidRPr="00F10029" w:rsidRDefault="008176B0" w:rsidP="0057037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F10029">
        <w:rPr>
          <w:rFonts w:ascii="Times New Roman" w:eastAsia="Times New Roman" w:hAnsi="Times New Roman" w:cs="Times New Roman"/>
          <w:b/>
          <w:color w:val="000000"/>
          <w:sz w:val="24"/>
          <w:szCs w:val="24"/>
        </w:rPr>
        <w:lastRenderedPageBreak/>
        <w:t>Introduction</w:t>
      </w:r>
    </w:p>
    <w:p w14:paraId="3ED3F83C" w14:textId="77777777" w:rsidR="0057037C" w:rsidRPr="00F10029" w:rsidRDefault="0057037C" w:rsidP="0057037C">
      <w:pPr>
        <w:spacing w:after="0" w:line="240" w:lineRule="auto"/>
        <w:jc w:val="both"/>
        <w:rPr>
          <w:rFonts w:ascii="Times New Roman" w:hAnsi="Times New Roman" w:cs="Times New Roman"/>
          <w:color w:val="000000" w:themeColor="text1"/>
          <w:sz w:val="24"/>
          <w:szCs w:val="24"/>
        </w:rPr>
      </w:pPr>
      <w:r w:rsidRPr="00F10029">
        <w:rPr>
          <w:rFonts w:ascii="Times New Roman" w:hAnsi="Times New Roman" w:cs="Times New Roman"/>
          <w:sz w:val="24"/>
          <w:szCs w:val="24"/>
        </w:rPr>
        <w:t xml:space="preserve">Currently, the world has been suffering from the COVID-19 pandemic. WHO first identified the case on December 31, 2019, in Wuhan, the People's Republic of China </w:t>
      </w:r>
      <w:r w:rsidRPr="00F10029">
        <w:rPr>
          <w:rFonts w:ascii="Times New Roman" w:hAnsi="Times New Roman" w:cs="Times New Roman"/>
          <w:color w:val="000000" w:themeColor="text1"/>
          <w:sz w:val="24"/>
          <w:szCs w:val="24"/>
        </w:rPr>
        <w:fldChar w:fldCharType="begin" w:fldLock="1"/>
      </w:r>
      <w:r w:rsidRPr="00F10029">
        <w:rPr>
          <w:rFonts w:ascii="Times New Roman" w:hAnsi="Times New Roman" w:cs="Times New Roman"/>
          <w:color w:val="000000" w:themeColor="text1"/>
          <w:sz w:val="24"/>
          <w:szCs w:val="24"/>
        </w:rPr>
        <w:instrText>ADDIN CSL_CITATION {"citationItems":[{"id":"ITEM-1","itemData":{"author":[{"dropping-particle":"","family":"WHO","given":"","non-dropping-particle":"","parse-names":false,"suffix":""}],"id":"ITEM-1","issued":{"date-parts":[["2020"]]},"title":"Archived: WHO Timeline - COVID-19","type":"webpage"},"uris":["http://www.mendeley.com/documents/?uuid=f4ccd77e-72cc-41ec-b16c-5f989155f439","http://www.mendeley.com/documents/?uuid=a9219378-438d-42b6-addc-378107e067f8","http://www.mendeley.com/documents/?uuid=9f6ef2e3-6fc2-46c0-9b51-b9204b90c147"]}],"mendeley":{"formattedCitation":"(WHO, 2020)","plainTextFormattedCitation":"(WHO, 2020)","previouslyFormattedCitation":"(WHO, 2020)"},"properties":{"noteIndex":0},"schema":"https://github.com/citation-style-language/schema/raw/master/csl-citation.json"}</w:instrText>
      </w:r>
      <w:r w:rsidRPr="00F10029">
        <w:rPr>
          <w:rFonts w:ascii="Times New Roman" w:hAnsi="Times New Roman" w:cs="Times New Roman"/>
          <w:color w:val="000000" w:themeColor="text1"/>
          <w:sz w:val="24"/>
          <w:szCs w:val="24"/>
        </w:rPr>
        <w:fldChar w:fldCharType="separate"/>
      </w:r>
      <w:r w:rsidRPr="00F10029">
        <w:rPr>
          <w:rFonts w:ascii="Times New Roman" w:hAnsi="Times New Roman" w:cs="Times New Roman"/>
          <w:noProof/>
          <w:color w:val="000000" w:themeColor="text1"/>
          <w:sz w:val="24"/>
          <w:szCs w:val="24"/>
        </w:rPr>
        <w:t>(</w:t>
      </w:r>
      <w:hyperlink w:anchor="WHO2020" w:history="1">
        <w:r w:rsidRPr="00F10029">
          <w:rPr>
            <w:rStyle w:val="Hyperlink"/>
            <w:rFonts w:ascii="Times New Roman" w:hAnsi="Times New Roman" w:cs="Times New Roman"/>
            <w:noProof/>
            <w:sz w:val="24"/>
            <w:szCs w:val="24"/>
            <w:u w:val="none"/>
          </w:rPr>
          <w:t>WHO, 2020</w:t>
        </w:r>
      </w:hyperlink>
      <w:r w:rsidRPr="00F10029">
        <w:rPr>
          <w:rFonts w:ascii="Times New Roman" w:hAnsi="Times New Roman" w:cs="Times New Roman"/>
          <w:noProof/>
          <w:color w:val="000000" w:themeColor="text1"/>
          <w:sz w:val="24"/>
          <w:szCs w:val="24"/>
        </w:rPr>
        <w:t>)</w:t>
      </w:r>
      <w:r w:rsidRPr="00F10029">
        <w:rPr>
          <w:rFonts w:ascii="Times New Roman" w:hAnsi="Times New Roman" w:cs="Times New Roman"/>
          <w:color w:val="000000" w:themeColor="text1"/>
          <w:sz w:val="24"/>
          <w:szCs w:val="24"/>
        </w:rPr>
        <w:fldChar w:fldCharType="end"/>
      </w:r>
      <w:r w:rsidRPr="00F10029">
        <w:rPr>
          <w:rFonts w:ascii="Times New Roman" w:hAnsi="Times New Roman" w:cs="Times New Roman"/>
          <w:color w:val="000000" w:themeColor="text1"/>
          <w:sz w:val="24"/>
          <w:szCs w:val="24"/>
        </w:rPr>
        <w:t>.</w:t>
      </w:r>
      <w:r w:rsidRPr="00F10029">
        <w:rPr>
          <w:rFonts w:ascii="Times New Roman" w:hAnsi="Times New Roman" w:cs="Times New Roman"/>
          <w:sz w:val="24"/>
          <w:szCs w:val="24"/>
        </w:rPr>
        <w:t xml:space="preserve"> Supported by the ease of human movement and coinciding with the Chinese New Year, the virus spread rapidly worldwide. Furthermore, WHO announced the global pandemic on March 11, 2020, which hit more than 100 countries around the globe </w:t>
      </w:r>
      <w:r w:rsidRPr="00F10029">
        <w:rPr>
          <w:rFonts w:ascii="Times New Roman" w:hAnsi="Times New Roman" w:cs="Times New Roman"/>
          <w:color w:val="000000" w:themeColor="text1"/>
          <w:sz w:val="24"/>
          <w:szCs w:val="24"/>
        </w:rPr>
        <w:fldChar w:fldCharType="begin" w:fldLock="1"/>
      </w:r>
      <w:r w:rsidRPr="00F10029">
        <w:rPr>
          <w:rFonts w:ascii="Times New Roman" w:hAnsi="Times New Roman" w:cs="Times New Roman"/>
          <w:color w:val="000000" w:themeColor="text1"/>
          <w:sz w:val="24"/>
          <w:szCs w:val="24"/>
        </w:rPr>
        <w:instrText>ADDIN CSL_CITATION {"citationItems":[{"id":"ITEM-1","itemData":{"author":[{"dropping-particle":"","family":"Roxby","given":"Philippa","non-dropping-particle":"","parse-names":false,"suffix":""}],"id":"ITEM-1","issued":{"date-parts":[["2020"]]},"title":"Coronavirus confirmed as pandemic by World Health Organization","type":"webpage"},"uris":["http://www.mendeley.com/documents/?uuid=a176b27d-a2c3-4896-94d5-d6fda72d30a5","http://www.mendeley.com/documents/?uuid=838f2567-52b8-4263-8d00-366af295deda","http://www.mendeley.com/documents/?uuid=a7b9f0bc-b169-486b-9daa-aa1fbae19310"]}],"mendeley":{"formattedCitation":"(Roxby, 2020)","plainTextFormattedCitation":"(Roxby, 2020)","previouslyFormattedCitation":"(Roxby, 2020)"},"properties":{"noteIndex":0},"schema":"https://github.com/citation-style-language/schema/raw/master/csl-citation.json"}</w:instrText>
      </w:r>
      <w:r w:rsidRPr="00F10029">
        <w:rPr>
          <w:rFonts w:ascii="Times New Roman" w:hAnsi="Times New Roman" w:cs="Times New Roman"/>
          <w:color w:val="000000" w:themeColor="text1"/>
          <w:sz w:val="24"/>
          <w:szCs w:val="24"/>
        </w:rPr>
        <w:fldChar w:fldCharType="separate"/>
      </w:r>
      <w:r w:rsidRPr="00F10029">
        <w:rPr>
          <w:rFonts w:ascii="Times New Roman" w:hAnsi="Times New Roman" w:cs="Times New Roman"/>
          <w:noProof/>
          <w:color w:val="000000" w:themeColor="text1"/>
          <w:sz w:val="24"/>
          <w:szCs w:val="24"/>
        </w:rPr>
        <w:t>(</w:t>
      </w:r>
      <w:hyperlink w:anchor="Roxby2020" w:history="1">
        <w:r w:rsidRPr="00F10029">
          <w:rPr>
            <w:rStyle w:val="Hyperlink"/>
            <w:rFonts w:ascii="Times New Roman" w:hAnsi="Times New Roman" w:cs="Times New Roman"/>
            <w:noProof/>
            <w:sz w:val="24"/>
            <w:szCs w:val="24"/>
            <w:u w:val="none"/>
          </w:rPr>
          <w:t>Roxby, 2020</w:t>
        </w:r>
      </w:hyperlink>
      <w:r w:rsidRPr="00F10029">
        <w:rPr>
          <w:rFonts w:ascii="Times New Roman" w:hAnsi="Times New Roman" w:cs="Times New Roman"/>
          <w:noProof/>
          <w:color w:val="000000" w:themeColor="text1"/>
          <w:sz w:val="24"/>
          <w:szCs w:val="24"/>
        </w:rPr>
        <w:t>)</w:t>
      </w:r>
      <w:r w:rsidRPr="00F10029">
        <w:rPr>
          <w:rFonts w:ascii="Times New Roman" w:hAnsi="Times New Roman" w:cs="Times New Roman"/>
          <w:color w:val="000000" w:themeColor="text1"/>
          <w:sz w:val="24"/>
          <w:szCs w:val="24"/>
        </w:rPr>
        <w:fldChar w:fldCharType="end"/>
      </w:r>
      <w:r w:rsidRPr="00F10029">
        <w:rPr>
          <w:rFonts w:ascii="Times New Roman" w:hAnsi="Times New Roman" w:cs="Times New Roman"/>
          <w:color w:val="000000" w:themeColor="text1"/>
          <w:sz w:val="24"/>
          <w:szCs w:val="24"/>
        </w:rPr>
        <w:t xml:space="preserve">. </w:t>
      </w:r>
      <w:r w:rsidRPr="00F10029">
        <w:rPr>
          <w:rFonts w:ascii="Times New Roman" w:hAnsi="Times New Roman" w:cs="Times New Roman"/>
          <w:sz w:val="24"/>
          <w:szCs w:val="24"/>
        </w:rPr>
        <w:t xml:space="preserve">At the end of 2020, there were more than 83 million positive cases of COVID-19 and more than 1.9 million deaths caused by the Covid-19 virus </w:t>
      </w:r>
      <w:r w:rsidRPr="00F10029">
        <w:rPr>
          <w:rFonts w:ascii="Times New Roman" w:hAnsi="Times New Roman" w:cs="Times New Roman"/>
          <w:sz w:val="24"/>
          <w:szCs w:val="24"/>
        </w:rPr>
        <w:fldChar w:fldCharType="begin" w:fldLock="1"/>
      </w:r>
      <w:r w:rsidRPr="00F10029">
        <w:rPr>
          <w:rFonts w:ascii="Times New Roman" w:hAnsi="Times New Roman" w:cs="Times New Roman"/>
          <w:sz w:val="24"/>
          <w:szCs w:val="24"/>
        </w:rPr>
        <w:instrText>ADDIN CSL_CITATION {"citationItems":[{"id":"ITEM-1","itemData":{"author":[{"dropping-particle":"","family":"Worldometer","given":"","non-dropping-particle":"","parse-names":false,"suffix":""}],"id":"ITEM-1","issued":{"date-parts":[["2021"]]},"title":"Coronavirus Worldwide Graphs","type":"webpage"},"uris":["http://www.mendeley.com/documents/?uuid=8df0c3f2-139c-4fda-a7e8-cc3c19cbefad","http://www.mendeley.com/documents/?uuid=7ec851fe-e1dc-4355-8a08-c67cbb7fa5e7"]}],"mendeley":{"formattedCitation":"(Worldometer, 2021)","plainTextFormattedCitation":"(Worldometer, 2021)","previouslyFormattedCitation":"(Worldometer, 2021)"},"properties":{"noteIndex":0},"schema":"https://github.com/citation-style-language/schema/raw/master/csl-citation.json"}</w:instrText>
      </w:r>
      <w:r w:rsidRPr="00F10029">
        <w:rPr>
          <w:rFonts w:ascii="Times New Roman" w:hAnsi="Times New Roman" w:cs="Times New Roman"/>
          <w:sz w:val="24"/>
          <w:szCs w:val="24"/>
        </w:rPr>
        <w:fldChar w:fldCharType="separate"/>
      </w:r>
      <w:r w:rsidRPr="00F10029">
        <w:rPr>
          <w:rFonts w:ascii="Times New Roman" w:hAnsi="Times New Roman" w:cs="Times New Roman"/>
          <w:noProof/>
          <w:sz w:val="24"/>
          <w:szCs w:val="24"/>
        </w:rPr>
        <w:t>(</w:t>
      </w:r>
      <w:hyperlink w:anchor="Worldometer2021" w:history="1">
        <w:r w:rsidRPr="00F10029">
          <w:rPr>
            <w:rStyle w:val="Hyperlink"/>
            <w:rFonts w:ascii="Times New Roman" w:hAnsi="Times New Roman" w:cs="Times New Roman"/>
            <w:noProof/>
            <w:sz w:val="24"/>
            <w:szCs w:val="24"/>
            <w:u w:val="none"/>
          </w:rPr>
          <w:t>Worldometer, 2021</w:t>
        </w:r>
      </w:hyperlink>
      <w:r w:rsidRPr="00F10029">
        <w:rPr>
          <w:rFonts w:ascii="Times New Roman" w:hAnsi="Times New Roman" w:cs="Times New Roman"/>
          <w:noProof/>
          <w:sz w:val="24"/>
          <w:szCs w:val="24"/>
        </w:rPr>
        <w:t>)</w:t>
      </w:r>
      <w:r w:rsidRPr="00F10029">
        <w:rPr>
          <w:rFonts w:ascii="Times New Roman" w:hAnsi="Times New Roman" w:cs="Times New Roman"/>
          <w:sz w:val="24"/>
          <w:szCs w:val="24"/>
        </w:rPr>
        <w:fldChar w:fldCharType="end"/>
      </w:r>
      <w:r w:rsidRPr="00F10029">
        <w:rPr>
          <w:rFonts w:ascii="Times New Roman" w:hAnsi="Times New Roman" w:cs="Times New Roman"/>
          <w:sz w:val="24"/>
          <w:szCs w:val="24"/>
        </w:rPr>
        <w:t xml:space="preserve">. Covid-19 has harmed the global economy. The International Monetary Fund projects global economic growth of minus 4.9% in 2020 </w:t>
      </w:r>
      <w:r w:rsidRPr="00F10029">
        <w:rPr>
          <w:rFonts w:ascii="Times New Roman" w:hAnsi="Times New Roman" w:cs="Times New Roman"/>
          <w:sz w:val="24"/>
          <w:szCs w:val="24"/>
        </w:rPr>
        <w:fldChar w:fldCharType="begin" w:fldLock="1"/>
      </w:r>
      <w:r w:rsidRPr="00F10029">
        <w:rPr>
          <w:rFonts w:ascii="Times New Roman" w:hAnsi="Times New Roman" w:cs="Times New Roman"/>
          <w:sz w:val="24"/>
          <w:szCs w:val="24"/>
        </w:rPr>
        <w:instrText>ADDIN CSL_CITATION {"citationItems":[{"id":"ITEM-1","itemData":{"author":[{"dropping-particle":"","family":"IMF","given":"","non-dropping-particle":"","parse-names":false,"suffix":""}],"id":"ITEM-1","issued":{"date-parts":[["2020"]]},"title":"A Crisis Like No Other, An Uncertain Recovery","type":"report"},"uris":["http://www.mendeley.com/documents/?uuid=d2d363df-7d56-4586-a769-c21b0f5f2c59","http://www.mendeley.com/documents/?uuid=05dad673-aa00-4a56-976e-614faccf987e"]}],"mendeley":{"formattedCitation":"(IMF, 2020)","plainTextFormattedCitation":"(IMF, 2020)","previouslyFormattedCitation":"(IMF, 2020)"},"properties":{"noteIndex":0},"schema":"https://github.com/citation-style-language/schema/raw/master/csl-citation.json"}</w:instrText>
      </w:r>
      <w:r w:rsidRPr="00F10029">
        <w:rPr>
          <w:rFonts w:ascii="Times New Roman" w:hAnsi="Times New Roman" w:cs="Times New Roman"/>
          <w:sz w:val="24"/>
          <w:szCs w:val="24"/>
        </w:rPr>
        <w:fldChar w:fldCharType="separate"/>
      </w:r>
      <w:r w:rsidRPr="00F10029">
        <w:rPr>
          <w:rFonts w:ascii="Times New Roman" w:hAnsi="Times New Roman" w:cs="Times New Roman"/>
          <w:noProof/>
          <w:sz w:val="24"/>
          <w:szCs w:val="24"/>
        </w:rPr>
        <w:t>(</w:t>
      </w:r>
      <w:hyperlink w:anchor="IMF2020" w:history="1">
        <w:r w:rsidRPr="00F10029">
          <w:rPr>
            <w:rStyle w:val="Hyperlink"/>
            <w:rFonts w:ascii="Times New Roman" w:hAnsi="Times New Roman" w:cs="Times New Roman"/>
            <w:noProof/>
            <w:sz w:val="24"/>
            <w:szCs w:val="24"/>
            <w:u w:val="none"/>
          </w:rPr>
          <w:t>IMF, 2020</w:t>
        </w:r>
      </w:hyperlink>
      <w:r w:rsidRPr="00F10029">
        <w:rPr>
          <w:rFonts w:ascii="Times New Roman" w:hAnsi="Times New Roman" w:cs="Times New Roman"/>
          <w:noProof/>
          <w:sz w:val="24"/>
          <w:szCs w:val="24"/>
        </w:rPr>
        <w:t>)</w:t>
      </w:r>
      <w:r w:rsidRPr="00F10029">
        <w:rPr>
          <w:rFonts w:ascii="Times New Roman" w:hAnsi="Times New Roman" w:cs="Times New Roman"/>
          <w:sz w:val="24"/>
          <w:szCs w:val="24"/>
        </w:rPr>
        <w:fldChar w:fldCharType="end"/>
      </w:r>
      <w:r w:rsidRPr="00F10029">
        <w:rPr>
          <w:rFonts w:ascii="Times New Roman" w:hAnsi="Times New Roman" w:cs="Times New Roman"/>
          <w:sz w:val="24"/>
          <w:szCs w:val="24"/>
        </w:rPr>
        <w:t xml:space="preserve">. The outbreak of the COVID-19 virus has also had an impact on the decline in global stock markets. According to the Dow Jones report, the most significant one-day loss was nearly 3000 points on March 16, 2020. The economic losses from the COVID-19 outbreak were primarily driven by falling demand. For example, performance shock occurs in the travel and tourism industry because most countries restrict travel, undoubtedly impacting related sectors </w:t>
      </w:r>
      <w:r w:rsidRPr="00F10029">
        <w:rPr>
          <w:rFonts w:ascii="Times New Roman" w:hAnsi="Times New Roman" w:cs="Times New Roman"/>
          <w:sz w:val="24"/>
          <w:szCs w:val="24"/>
        </w:rPr>
        <w:fldChar w:fldCharType="begin" w:fldLock="1"/>
      </w:r>
      <w:r w:rsidRPr="00F10029">
        <w:rPr>
          <w:rFonts w:ascii="Times New Roman" w:hAnsi="Times New Roman" w:cs="Times New Roman"/>
          <w:sz w:val="24"/>
          <w:szCs w:val="24"/>
        </w:rPr>
        <w:instrText>ADDIN CSL_CITATION {"citationItems":[{"id":"ITEM-1","itemData":{"author":[{"dropping-particle":"","family":"Szmigiera","given":"M.","non-dropping-particle":"","parse-names":false,"suffix":""}],"id":"ITEM-1","issued":{"date-parts":[["2021"]]},"title":"Impact of the coronavirus pandemic on the global economy - Statistics &amp; Facts","type":"webpage"},"uris":["http://www.mendeley.com/documents/?uuid=1737d64f-140e-4049-8306-7a173ee91dc3","http://www.mendeley.com/documents/?uuid=68541cb4-e87e-40fb-8133-b7cd6eb7ea3f"]}],"mendeley":{"formattedCitation":"(Szmigiera, 2021)","plainTextFormattedCitation":"(Szmigiera, 2021)","previouslyFormattedCitation":"(Szmigiera, 2021)"},"properties":{"noteIndex":0},"schema":"https://github.com/citation-style-language/schema/raw/master/csl-citation.json"}</w:instrText>
      </w:r>
      <w:r w:rsidRPr="00F10029">
        <w:rPr>
          <w:rFonts w:ascii="Times New Roman" w:hAnsi="Times New Roman" w:cs="Times New Roman"/>
          <w:sz w:val="24"/>
          <w:szCs w:val="24"/>
        </w:rPr>
        <w:fldChar w:fldCharType="separate"/>
      </w:r>
      <w:r w:rsidRPr="00F10029">
        <w:rPr>
          <w:rFonts w:ascii="Times New Roman" w:hAnsi="Times New Roman" w:cs="Times New Roman"/>
          <w:noProof/>
          <w:sz w:val="24"/>
          <w:szCs w:val="24"/>
        </w:rPr>
        <w:t>(</w:t>
      </w:r>
      <w:hyperlink w:anchor="Szmigiera2021" w:history="1">
        <w:r w:rsidRPr="00F10029">
          <w:rPr>
            <w:rStyle w:val="Hyperlink"/>
            <w:rFonts w:ascii="Times New Roman" w:hAnsi="Times New Roman" w:cs="Times New Roman"/>
            <w:noProof/>
            <w:sz w:val="24"/>
            <w:szCs w:val="24"/>
            <w:u w:val="none"/>
          </w:rPr>
          <w:t>Szmigiera, 2021</w:t>
        </w:r>
      </w:hyperlink>
      <w:r w:rsidRPr="00F10029">
        <w:rPr>
          <w:rFonts w:ascii="Times New Roman" w:hAnsi="Times New Roman" w:cs="Times New Roman"/>
          <w:noProof/>
          <w:sz w:val="24"/>
          <w:szCs w:val="24"/>
        </w:rPr>
        <w:t>)</w:t>
      </w:r>
      <w:r w:rsidRPr="00F10029">
        <w:rPr>
          <w:rFonts w:ascii="Times New Roman" w:hAnsi="Times New Roman" w:cs="Times New Roman"/>
          <w:sz w:val="24"/>
          <w:szCs w:val="24"/>
        </w:rPr>
        <w:fldChar w:fldCharType="end"/>
      </w:r>
      <w:r w:rsidRPr="00F10029">
        <w:rPr>
          <w:rFonts w:ascii="Times New Roman" w:hAnsi="Times New Roman" w:cs="Times New Roman"/>
          <w:sz w:val="24"/>
          <w:szCs w:val="24"/>
        </w:rPr>
        <w:t>.</w:t>
      </w:r>
    </w:p>
    <w:p w14:paraId="64E6F3D4" w14:textId="77777777" w:rsidR="0057037C" w:rsidRPr="00F10029" w:rsidRDefault="0057037C" w:rsidP="0057037C">
      <w:pPr>
        <w:spacing w:after="0" w:line="240" w:lineRule="auto"/>
        <w:ind w:firstLine="567"/>
        <w:jc w:val="both"/>
        <w:rPr>
          <w:rFonts w:ascii="Times New Roman" w:hAnsi="Times New Roman" w:cs="Times New Roman"/>
          <w:sz w:val="24"/>
          <w:szCs w:val="24"/>
        </w:rPr>
      </w:pPr>
      <w:r w:rsidRPr="00F10029">
        <w:rPr>
          <w:rFonts w:ascii="Times New Roman" w:hAnsi="Times New Roman" w:cs="Times New Roman"/>
          <w:sz w:val="24"/>
          <w:szCs w:val="24"/>
        </w:rPr>
        <w:t xml:space="preserve">On March 2, 2020, President Joko Widodo announced two Indonesians had been infected with COVID-19 </w:t>
      </w:r>
      <w:r w:rsidRPr="00F10029">
        <w:rPr>
          <w:rFonts w:ascii="Times New Roman" w:hAnsi="Times New Roman" w:cs="Times New Roman"/>
          <w:color w:val="000000" w:themeColor="text1"/>
          <w:sz w:val="24"/>
          <w:szCs w:val="24"/>
        </w:rPr>
        <w:fldChar w:fldCharType="begin" w:fldLock="1"/>
      </w:r>
      <w:r w:rsidRPr="00F10029">
        <w:rPr>
          <w:rFonts w:ascii="Times New Roman" w:hAnsi="Times New Roman" w:cs="Times New Roman"/>
          <w:color w:val="000000" w:themeColor="text1"/>
          <w:sz w:val="24"/>
          <w:szCs w:val="24"/>
        </w:rPr>
        <w:instrText>ADDIN CSL_CITATION {"citationItems":[{"id":"ITEM-1","itemData":{"author":[{"dropping-particle":"","family":"Ihsanudin","given":"","non-dropping-particle":"","parse-names":false,"suffix":""}],"id":"ITEM-1","issued":{"date-parts":[["2020"]]},"title":"BREAKING NEWS: Jokowi Umumkan Dua Orang di Indonesia Positif Corona","type":"webpage"},"uris":["http://www.mendeley.com/documents/?uuid=45adfb08-c489-43a4-abcd-318cc3a7deb3","http://www.mendeley.com/documents/?uuid=756ef48d-e4de-433e-8df0-7cd2ccc104a4","http://www.mendeley.com/documents/?uuid=30e72ef4-e97c-4ed2-af6d-58abd7132ff4"]}],"mendeley":{"formattedCitation":"(Ihsanudin, 2020)","plainTextFormattedCitation":"(Ihsanudin, 2020)","previouslyFormattedCitation":"(Ihsanudin, 2020)"},"properties":{"noteIndex":0},"schema":"https://github.com/citation-style-language/schema/raw/master/csl-citation.json"}</w:instrText>
      </w:r>
      <w:r w:rsidRPr="00F10029">
        <w:rPr>
          <w:rFonts w:ascii="Times New Roman" w:hAnsi="Times New Roman" w:cs="Times New Roman"/>
          <w:color w:val="000000" w:themeColor="text1"/>
          <w:sz w:val="24"/>
          <w:szCs w:val="24"/>
        </w:rPr>
        <w:fldChar w:fldCharType="separate"/>
      </w:r>
      <w:r w:rsidRPr="00F10029">
        <w:rPr>
          <w:rFonts w:ascii="Times New Roman" w:hAnsi="Times New Roman" w:cs="Times New Roman"/>
          <w:noProof/>
          <w:color w:val="000000" w:themeColor="text1"/>
          <w:sz w:val="24"/>
          <w:szCs w:val="24"/>
        </w:rPr>
        <w:t>(</w:t>
      </w:r>
      <w:hyperlink w:anchor="Ihsanudin2020" w:history="1">
        <w:r w:rsidRPr="00F10029">
          <w:rPr>
            <w:rStyle w:val="Hyperlink"/>
            <w:rFonts w:ascii="Times New Roman" w:hAnsi="Times New Roman" w:cs="Times New Roman"/>
            <w:noProof/>
            <w:sz w:val="24"/>
            <w:szCs w:val="24"/>
            <w:u w:val="none"/>
          </w:rPr>
          <w:t>Ihsanudin, 2020</w:t>
        </w:r>
      </w:hyperlink>
      <w:r w:rsidRPr="00F10029">
        <w:rPr>
          <w:rFonts w:ascii="Times New Roman" w:hAnsi="Times New Roman" w:cs="Times New Roman"/>
          <w:noProof/>
          <w:color w:val="000000" w:themeColor="text1"/>
          <w:sz w:val="24"/>
          <w:szCs w:val="24"/>
        </w:rPr>
        <w:t>)</w:t>
      </w:r>
      <w:r w:rsidRPr="00F10029">
        <w:rPr>
          <w:rFonts w:ascii="Times New Roman" w:hAnsi="Times New Roman" w:cs="Times New Roman"/>
          <w:color w:val="000000" w:themeColor="text1"/>
          <w:sz w:val="24"/>
          <w:szCs w:val="24"/>
        </w:rPr>
        <w:fldChar w:fldCharType="end"/>
      </w:r>
      <w:r w:rsidRPr="00F10029">
        <w:rPr>
          <w:rFonts w:ascii="Times New Roman" w:hAnsi="Times New Roman" w:cs="Times New Roman"/>
          <w:color w:val="000000" w:themeColor="text1"/>
          <w:sz w:val="24"/>
          <w:szCs w:val="24"/>
        </w:rPr>
        <w:t xml:space="preserve">. </w:t>
      </w:r>
      <w:r w:rsidRPr="00F10029">
        <w:rPr>
          <w:rFonts w:ascii="Times New Roman" w:hAnsi="Times New Roman" w:cs="Times New Roman"/>
          <w:sz w:val="24"/>
          <w:szCs w:val="24"/>
        </w:rPr>
        <w:t xml:space="preserve">By far, the spread of the Covid-19 virus in Indonesia has not shown a significant decline. In Indonesia, positive COVID-19 cases as of the end of December 2020 reached more than 740,000 cases, and more than 22,000 people died due to COVID-19 </w:t>
      </w:r>
      <w:r w:rsidRPr="00F10029">
        <w:rPr>
          <w:rFonts w:ascii="Times New Roman" w:hAnsi="Times New Roman" w:cs="Times New Roman"/>
          <w:sz w:val="24"/>
          <w:szCs w:val="24"/>
        </w:rPr>
        <w:fldChar w:fldCharType="begin" w:fldLock="1"/>
      </w:r>
      <w:r w:rsidRPr="00F10029">
        <w:rPr>
          <w:rFonts w:ascii="Times New Roman" w:hAnsi="Times New Roman" w:cs="Times New Roman"/>
          <w:sz w:val="24"/>
          <w:szCs w:val="24"/>
        </w:rPr>
        <w:instrText>ADDIN CSL_CITATION {"citationItems":[{"id":"ITEM-1","itemData":{"author":[{"dropping-particle":"","family":"Situs Satuan Tugas Penanganan COVID-19","given":"","non-dropping-particle":"","parse-names":false,"suffix":""}],"id":"ITEM-1","issued":{"date-parts":[["2020"]]},"title":"Peta Sebaran","type":"webpage"},"uris":["http://www.mendeley.com/documents/?uuid=9ec2edd7-189b-4ec4-a67c-5a854163c256","http://www.mendeley.com/documents/?uuid=124bd960-96ce-40a2-9c8a-3ae7978f0964"]}],"mendeley":{"formattedCitation":"(Situs Satuan Tugas Penanganan COVID-19, 2020)","manualFormatting":"(Covid-19 Task Force Site, 2020)","plainTextFormattedCitation":"(Situs Satuan Tugas Penanganan COVID-19, 2020)","previouslyFormattedCitation":"(Situs Satuan Tugas Penanganan COVID-19, 2020)"},"properties":{"noteIndex":0},"schema":"https://github.com/citation-style-language/schema/raw/master/csl-citation.json"}</w:instrText>
      </w:r>
      <w:r w:rsidRPr="00F10029">
        <w:rPr>
          <w:rFonts w:ascii="Times New Roman" w:hAnsi="Times New Roman" w:cs="Times New Roman"/>
          <w:sz w:val="24"/>
          <w:szCs w:val="24"/>
        </w:rPr>
        <w:fldChar w:fldCharType="separate"/>
      </w:r>
      <w:r w:rsidRPr="00F10029">
        <w:rPr>
          <w:rFonts w:ascii="Times New Roman" w:hAnsi="Times New Roman" w:cs="Times New Roman"/>
          <w:noProof/>
          <w:sz w:val="24"/>
          <w:szCs w:val="24"/>
        </w:rPr>
        <w:t>(</w:t>
      </w:r>
      <w:hyperlink w:anchor="Situs2020" w:history="1">
        <w:r w:rsidRPr="00F10029">
          <w:rPr>
            <w:rStyle w:val="Hyperlink"/>
            <w:rFonts w:ascii="Times New Roman" w:hAnsi="Times New Roman" w:cs="Times New Roman"/>
            <w:noProof/>
            <w:sz w:val="24"/>
            <w:szCs w:val="24"/>
            <w:u w:val="none"/>
          </w:rPr>
          <w:t>Covid-19 Task Force Site, 2020</w:t>
        </w:r>
      </w:hyperlink>
      <w:r w:rsidRPr="00F10029">
        <w:rPr>
          <w:rFonts w:ascii="Times New Roman" w:hAnsi="Times New Roman" w:cs="Times New Roman"/>
          <w:noProof/>
          <w:sz w:val="24"/>
          <w:szCs w:val="24"/>
        </w:rPr>
        <w:t>)</w:t>
      </w:r>
      <w:r w:rsidRPr="00F10029">
        <w:rPr>
          <w:rFonts w:ascii="Times New Roman" w:hAnsi="Times New Roman" w:cs="Times New Roman"/>
          <w:sz w:val="24"/>
          <w:szCs w:val="24"/>
        </w:rPr>
        <w:fldChar w:fldCharType="end"/>
      </w:r>
      <w:r w:rsidRPr="00F10029">
        <w:rPr>
          <w:rFonts w:ascii="Times New Roman" w:hAnsi="Times New Roman" w:cs="Times New Roman"/>
          <w:sz w:val="24"/>
          <w:szCs w:val="24"/>
        </w:rPr>
        <w:t xml:space="preserve">. The COVID-19 outbreak affected the Indonesian economy, causing a contraction in the first quarter of 2020 economic growth of -2.41% compared to the fourth quarter of 2019 </w:t>
      </w:r>
      <w:r w:rsidRPr="00F10029">
        <w:rPr>
          <w:rFonts w:ascii="Times New Roman" w:hAnsi="Times New Roman" w:cs="Times New Roman"/>
          <w:sz w:val="24"/>
          <w:szCs w:val="24"/>
        </w:rPr>
        <w:fldChar w:fldCharType="begin" w:fldLock="1"/>
      </w:r>
      <w:r w:rsidRPr="00F10029">
        <w:rPr>
          <w:rFonts w:ascii="Times New Roman" w:hAnsi="Times New Roman" w:cs="Times New Roman"/>
          <w:sz w:val="24"/>
          <w:szCs w:val="24"/>
        </w:rPr>
        <w:instrText>ADDIN CSL_CITATION {"citationItems":[{"id":"ITEM-1","itemData":{"author":[{"dropping-particle":"","family":"BPS","given":"","non-dropping-particle":"","parse-names":false,"suffix":""}],"id":"ITEM-1","issued":{"date-parts":[["2020"]]},"title":"Ekonomi Indonesia Triwulan II 2020 Turun 5,32 Persen","type":"webpage"},"uris":["http://www.mendeley.com/documents/?uuid=67ce8829-40bc-4c75-859f-44d6940b115e","http://www.mendeley.com/documents/?uuid=c4ec5cc7-6715-4bd4-9123-a9a5fc61c4b7"]}],"mendeley":{"formattedCitation":"(BPS, 2020)","plainTextFormattedCitation":"(BPS, 2020)","previouslyFormattedCitation":"(BPS, 2020)"},"properties":{"noteIndex":0},"schema":"https://github.com/citation-style-language/schema/raw/master/csl-citation.json"}</w:instrText>
      </w:r>
      <w:r w:rsidRPr="00F10029">
        <w:rPr>
          <w:rFonts w:ascii="Times New Roman" w:hAnsi="Times New Roman" w:cs="Times New Roman"/>
          <w:sz w:val="24"/>
          <w:szCs w:val="24"/>
        </w:rPr>
        <w:fldChar w:fldCharType="separate"/>
      </w:r>
      <w:r w:rsidRPr="00F10029">
        <w:rPr>
          <w:rFonts w:ascii="Times New Roman" w:hAnsi="Times New Roman" w:cs="Times New Roman"/>
          <w:noProof/>
          <w:sz w:val="24"/>
          <w:szCs w:val="24"/>
        </w:rPr>
        <w:t>(</w:t>
      </w:r>
      <w:hyperlink w:anchor="BPS2020" w:history="1">
        <w:r w:rsidRPr="00F10029">
          <w:rPr>
            <w:rStyle w:val="Hyperlink"/>
            <w:rFonts w:ascii="Times New Roman" w:hAnsi="Times New Roman" w:cs="Times New Roman"/>
            <w:noProof/>
            <w:sz w:val="24"/>
            <w:szCs w:val="24"/>
            <w:u w:val="none"/>
          </w:rPr>
          <w:t>BPS, 2020</w:t>
        </w:r>
      </w:hyperlink>
      <w:r w:rsidRPr="00F10029">
        <w:rPr>
          <w:rFonts w:ascii="Times New Roman" w:hAnsi="Times New Roman" w:cs="Times New Roman"/>
          <w:noProof/>
          <w:sz w:val="24"/>
          <w:szCs w:val="24"/>
        </w:rPr>
        <w:t>)</w:t>
      </w:r>
      <w:r w:rsidRPr="00F10029">
        <w:rPr>
          <w:rFonts w:ascii="Times New Roman" w:hAnsi="Times New Roman" w:cs="Times New Roman"/>
          <w:sz w:val="24"/>
          <w:szCs w:val="24"/>
        </w:rPr>
        <w:fldChar w:fldCharType="end"/>
      </w:r>
      <w:r w:rsidRPr="00F10029">
        <w:rPr>
          <w:rFonts w:ascii="Times New Roman" w:hAnsi="Times New Roman" w:cs="Times New Roman"/>
          <w:sz w:val="24"/>
          <w:szCs w:val="24"/>
        </w:rPr>
        <w:t xml:space="preserve">. In addition, the Covid-19 outbreak impacted declining stock values in the Indonesian capital market. The JCI experienced a decline of more than 5%. There were policies such as temporary suspension and changes to the auto-rejection limit to reduce pressure on the market </w:t>
      </w:r>
      <w:r w:rsidRPr="00F10029">
        <w:rPr>
          <w:rFonts w:ascii="Times New Roman" w:hAnsi="Times New Roman" w:cs="Times New Roman"/>
          <w:sz w:val="24"/>
          <w:szCs w:val="24"/>
        </w:rPr>
        <w:fldChar w:fldCharType="begin" w:fldLock="1"/>
      </w:r>
      <w:r w:rsidRPr="00F10029">
        <w:rPr>
          <w:rFonts w:ascii="Times New Roman" w:hAnsi="Times New Roman" w:cs="Times New Roman"/>
          <w:sz w:val="24"/>
          <w:szCs w:val="24"/>
        </w:rPr>
        <w:instrText>ADDIN CSL_CITATION {"citationItems":[{"id":"ITEM-1","itemData":{"ISSN":"2548-1398","abstract":"Covid 19 pandemic has plagued almost all countries around the world, many things that have been harmed starting from the political, socio-cultural, religious to the worst are the economic boom. In Indonesia the economy has a huge impact, many industries that 'lay off' their employees, production stops according to government policy but there are some industries that are still allowed to 'work' one of them is the Islamic capital market industry. This study uses a qualitative narrative research method in which primary data comes from various electronic media as well as data from books. With the results of research that the capital market industry is also experiencing tremendous impact, which is certain the stock values down, there are policy changes during the pandemic such as changes in working hours, trading halts, changes in auto rejection but besides that there are still companies that do An IPO or the emergence of a publicly traded company going public on the stock exchange in this pandemic The overall decline in the IHSG uring the pandemic is below 5%.","author":[{"dropping-particle":"","family":"Selasi","given":"Dini","non-dropping-particle":"","parse-names":false,"suffix":""}],"container-title":"Jurnal Ilmiah Indonesia","id":"ITEM-1","issue":"5","issued":{"date-parts":[["2020"]]},"page":"46-54","title":"Dampak Pandemic Disease Terhadap Perkembangan Pasar Modal Syariah Di Indonesia","type":"article-journal","volume":"5"},"uris":["http://www.mendeley.com/documents/?uuid=1c2c6588-d1f1-4ccc-9767-4a6497db2372","http://www.mendeley.com/documents/?uuid=ffddcd23-bbcf-47bb-959a-d94f9b78d930"]}],"mendeley":{"formattedCitation":"(Selasi, 2020)","plainTextFormattedCitation":"(Selasi, 2020)","previouslyFormattedCitation":"(Selasi, 2020)"},"properties":{"noteIndex":0},"schema":"https://github.com/citation-style-language/schema/raw/master/csl-citation.json"}</w:instrText>
      </w:r>
      <w:r w:rsidRPr="00F10029">
        <w:rPr>
          <w:rFonts w:ascii="Times New Roman" w:hAnsi="Times New Roman" w:cs="Times New Roman"/>
          <w:sz w:val="24"/>
          <w:szCs w:val="24"/>
        </w:rPr>
        <w:fldChar w:fldCharType="separate"/>
      </w:r>
      <w:r w:rsidRPr="00F10029">
        <w:rPr>
          <w:rFonts w:ascii="Times New Roman" w:hAnsi="Times New Roman" w:cs="Times New Roman"/>
          <w:noProof/>
          <w:sz w:val="24"/>
          <w:szCs w:val="24"/>
        </w:rPr>
        <w:t>(</w:t>
      </w:r>
      <w:hyperlink w:anchor="Selasi2020" w:history="1">
        <w:r w:rsidRPr="00F10029">
          <w:rPr>
            <w:rStyle w:val="Hyperlink"/>
            <w:rFonts w:ascii="Times New Roman" w:hAnsi="Times New Roman" w:cs="Times New Roman"/>
            <w:noProof/>
            <w:sz w:val="24"/>
            <w:szCs w:val="24"/>
            <w:u w:val="none"/>
          </w:rPr>
          <w:t>Selasi, 2020</w:t>
        </w:r>
      </w:hyperlink>
      <w:r w:rsidRPr="00F10029">
        <w:rPr>
          <w:rFonts w:ascii="Times New Roman" w:hAnsi="Times New Roman" w:cs="Times New Roman"/>
          <w:noProof/>
          <w:sz w:val="24"/>
          <w:szCs w:val="24"/>
        </w:rPr>
        <w:t>)</w:t>
      </w:r>
      <w:r w:rsidRPr="00F10029">
        <w:rPr>
          <w:rFonts w:ascii="Times New Roman" w:hAnsi="Times New Roman" w:cs="Times New Roman"/>
          <w:sz w:val="24"/>
          <w:szCs w:val="24"/>
        </w:rPr>
        <w:fldChar w:fldCharType="end"/>
      </w:r>
      <w:r w:rsidRPr="00F10029">
        <w:rPr>
          <w:rFonts w:ascii="Times New Roman" w:hAnsi="Times New Roman" w:cs="Times New Roman"/>
          <w:sz w:val="24"/>
          <w:szCs w:val="24"/>
        </w:rPr>
        <w:t>.</w:t>
      </w:r>
    </w:p>
    <w:p w14:paraId="0B250AA6" w14:textId="77777777" w:rsidR="0057037C" w:rsidRPr="00F10029" w:rsidRDefault="0057037C" w:rsidP="0057037C">
      <w:pPr>
        <w:spacing w:after="0" w:line="240" w:lineRule="auto"/>
        <w:ind w:firstLine="567"/>
        <w:jc w:val="both"/>
        <w:rPr>
          <w:rFonts w:ascii="Times New Roman" w:hAnsi="Times New Roman" w:cs="Times New Roman"/>
          <w:sz w:val="24"/>
          <w:szCs w:val="24"/>
        </w:rPr>
      </w:pPr>
      <w:r w:rsidRPr="00F10029">
        <w:rPr>
          <w:rFonts w:ascii="Times New Roman" w:hAnsi="Times New Roman" w:cs="Times New Roman"/>
          <w:sz w:val="24"/>
          <w:szCs w:val="24"/>
        </w:rPr>
        <w:t xml:space="preserve">COVID-19 also contributes to a significant adverse effect on stock returns in all affected countries and regions. Stock markets in Asian countries reacted more quickly to the outbreak. Confirmed cases of COVID-19 have a significant detrimental effect on the performance of major stock indices, with those in Asia experiencing an even more substantial decline in abnormal returns </w:t>
      </w:r>
      <w:r w:rsidRPr="00F10029">
        <w:rPr>
          <w:rFonts w:ascii="Times New Roman" w:hAnsi="Times New Roman" w:cs="Times New Roman"/>
          <w:color w:val="000000" w:themeColor="text1"/>
          <w:sz w:val="24"/>
          <w:szCs w:val="24"/>
        </w:rPr>
        <w:fldChar w:fldCharType="begin" w:fldLock="1"/>
      </w:r>
      <w:r w:rsidRPr="00F10029">
        <w:rPr>
          <w:rFonts w:ascii="Times New Roman" w:hAnsi="Times New Roman" w:cs="Times New Roman"/>
          <w:color w:val="000000" w:themeColor="text1"/>
          <w:sz w:val="24"/>
          <w:szCs w:val="24"/>
        </w:rPr>
        <w:instrText>ADDIN CSL_CITATION {"citationItems":[{"id":"ITEM-1","itemData":{"DOI":"10.3390/ijerph17082800","ISSN":"16604601","PMID":"32325710","abstract":"This paper evaluates the short-term impact of the coronavirus outbreak on 21 leading stock market indices in major affected countries including Japan, Korea, Singapore, the USA, Germany, Italy, and the UK etc. The consequences of infectious disease are considerable and have been directly affecting stock markets worldwide. Using an event study method, our results indicate that the stock markets in major affected countries and areas fell quickly after the virus outbreak. Countries in Asia experienced more negative abnormal returns as compared to other countries. Further panel fixed effect regressions also support the adverse effect of COVID-19 confirmed cases on stock indices abnormal returns through an effective channel by adding up investors’ pessimistic sentiment on future returns and fears of uncertainties.","author":[{"dropping-particle":"","family":"Liu","given":"Haiyue","non-dropping-particle":"","parse-names":false,"suffix":""},{"dropping-particle":"","family":"Manzoor","given":"Aqsa","non-dropping-particle":"","parse-names":false,"suffix":""},{"dropping-particle":"","family":"Wang","given":"Cangyu","non-dropping-particle":"","parse-names":false,"suffix":""},{"dropping-particle":"","family":"Zhang","given":"Lei","non-dropping-particle":"","parse-names":false,"suffix":""},{"dropping-particle":"","family":"Manzoor","given":"Zaira","non-dropping-particle":"","parse-names":false,"suffix":""}],"container-title":"International Journal of Environmental Research and Public Health","id":"ITEM-1","issue":"8","issued":{"date-parts":[["2020"]]},"page":"1-19","title":"The COVID-19 outbreak and affected countries stock markets response","type":"article-journal","volume":"17"},"uris":["http://www.mendeley.com/documents/?uuid=91996109-b238-4b67-81f7-3402f09d9070","http://www.mendeley.com/documents/?uuid=9558b90a-d4a4-4490-9e6c-8978fac08e56"]}],"mendeley":{"formattedCitation":"(Liu et al., 2020)","plainTextFormattedCitation":"(Liu et al., 2020)","previouslyFormattedCitation":"(Liu et al., 2020)"},"properties":{"noteIndex":0},"schema":"https://github.com/citation-style-language/schema/raw/master/csl-citation.json"}</w:instrText>
      </w:r>
      <w:r w:rsidRPr="00F10029">
        <w:rPr>
          <w:rFonts w:ascii="Times New Roman" w:hAnsi="Times New Roman" w:cs="Times New Roman"/>
          <w:color w:val="000000" w:themeColor="text1"/>
          <w:sz w:val="24"/>
          <w:szCs w:val="24"/>
        </w:rPr>
        <w:fldChar w:fldCharType="separate"/>
      </w:r>
      <w:r w:rsidRPr="00F10029">
        <w:rPr>
          <w:rFonts w:ascii="Times New Roman" w:hAnsi="Times New Roman" w:cs="Times New Roman"/>
          <w:noProof/>
          <w:color w:val="000000" w:themeColor="text1"/>
          <w:sz w:val="24"/>
          <w:szCs w:val="24"/>
        </w:rPr>
        <w:t>(</w:t>
      </w:r>
      <w:hyperlink w:anchor="Liu2020" w:history="1">
        <w:r w:rsidRPr="00F10029">
          <w:rPr>
            <w:rStyle w:val="Hyperlink"/>
            <w:rFonts w:ascii="Times New Roman" w:hAnsi="Times New Roman" w:cs="Times New Roman"/>
            <w:noProof/>
            <w:sz w:val="24"/>
            <w:szCs w:val="24"/>
            <w:u w:val="none"/>
          </w:rPr>
          <w:t>Liu et al., 2020</w:t>
        </w:r>
      </w:hyperlink>
      <w:r w:rsidRPr="00F10029">
        <w:rPr>
          <w:rFonts w:ascii="Times New Roman" w:hAnsi="Times New Roman" w:cs="Times New Roman"/>
          <w:noProof/>
          <w:color w:val="000000" w:themeColor="text1"/>
          <w:sz w:val="24"/>
          <w:szCs w:val="24"/>
        </w:rPr>
        <w:t>)</w:t>
      </w:r>
      <w:r w:rsidRPr="00F10029">
        <w:rPr>
          <w:rFonts w:ascii="Times New Roman" w:hAnsi="Times New Roman" w:cs="Times New Roman"/>
          <w:color w:val="000000" w:themeColor="text1"/>
          <w:sz w:val="24"/>
          <w:szCs w:val="24"/>
        </w:rPr>
        <w:fldChar w:fldCharType="end"/>
      </w:r>
      <w:r w:rsidRPr="00F10029">
        <w:rPr>
          <w:rFonts w:ascii="Times New Roman" w:hAnsi="Times New Roman" w:cs="Times New Roman"/>
          <w:color w:val="000000" w:themeColor="text1"/>
          <w:sz w:val="24"/>
          <w:szCs w:val="24"/>
        </w:rPr>
        <w:t xml:space="preserve">. </w:t>
      </w:r>
      <w:r w:rsidRPr="00F10029">
        <w:rPr>
          <w:rFonts w:ascii="Times New Roman" w:hAnsi="Times New Roman" w:cs="Times New Roman"/>
          <w:sz w:val="24"/>
          <w:szCs w:val="24"/>
        </w:rPr>
        <w:t xml:space="preserve">Pandemic disease negatively affects stock market returns from the Hang Seng and Shanghai Stock Exchange Composite Index </w:t>
      </w:r>
      <w:r w:rsidRPr="00F10029">
        <w:rPr>
          <w:rFonts w:ascii="Times New Roman" w:hAnsi="Times New Roman" w:cs="Times New Roman"/>
          <w:color w:val="000000" w:themeColor="text1"/>
          <w:sz w:val="24"/>
          <w:szCs w:val="24"/>
        </w:rPr>
        <w:fldChar w:fldCharType="begin" w:fldLock="1"/>
      </w:r>
      <w:r w:rsidRPr="00F10029">
        <w:rPr>
          <w:rFonts w:ascii="Times New Roman" w:hAnsi="Times New Roman" w:cs="Times New Roman"/>
          <w:color w:val="000000" w:themeColor="text1"/>
          <w:sz w:val="24"/>
          <w:szCs w:val="24"/>
        </w:rPr>
        <w:instrText>ADDIN CSL_CITATION {"citationItems":[{"id":"ITEM-1","itemData":{"DOI":"10.1016/j.jbef.2020.100326","ISSN":"22146369","abstract":"This study investigates whether contagious infectious diseases affect stock market outcomes. As a natural experiment, we use panel data analysis to test the effect of the COVID-19 virus, which is a contagious infectious disease, on the Chinese stock market. The findings indicate that both the daily growth in total confirmed cases and in total cases of death caused by COVID-19 have significant negative effects on stock returns across all companies.","author":[{"dropping-particle":"","family":"Al-Awadhi","given":"Abdullah M.","non-dropping-particle":"","parse-names":false,"suffix":""},{"dropping-particle":"","family":"Alsaifi","given":"Khaled","non-dropping-particle":"","parse-names":false,"suffix":""},{"dropping-particle":"","family":"Al-Awadhi","given":"Ahmad","non-dropping-particle":"","parse-names":false,"suffix":""},{"dropping-particle":"","family":"Alhammadi","given":"Salah","non-dropping-particle":"","parse-names":false,"suffix":""}],"container-title":"Journal of Behavioral and Experimental Finance","id":"ITEM-1","issued":{"date-parts":[["2020"]]},"page":"100326","publisher":"Elsevier B.V.","title":"Death and contagious infectious diseases: Impact of the COVID-19 virus on stock market returns","type":"article-journal","volume":"27"},"uris":["http://www.mendeley.com/documents/?uuid=d196e1f4-d57d-4e71-a6c6-a36e77a05d20","http://www.mendeley.com/documents/?uuid=7a782ff1-1b54-41d6-882c-5e96016db942"]}],"mendeley":{"formattedCitation":"(Al-Awadhi et al., 2020)","plainTextFormattedCitation":"(Al-Awadhi et al., 2020)","previouslyFormattedCitation":"(Al-Awadhi et al., 2020)"},"properties":{"noteIndex":0},"schema":"https://github.com/citation-style-language/schema/raw/master/csl-citation.json"}</w:instrText>
      </w:r>
      <w:r w:rsidRPr="00F10029">
        <w:rPr>
          <w:rFonts w:ascii="Times New Roman" w:hAnsi="Times New Roman" w:cs="Times New Roman"/>
          <w:color w:val="000000" w:themeColor="text1"/>
          <w:sz w:val="24"/>
          <w:szCs w:val="24"/>
        </w:rPr>
        <w:fldChar w:fldCharType="separate"/>
      </w:r>
      <w:r w:rsidRPr="00F10029">
        <w:rPr>
          <w:rFonts w:ascii="Times New Roman" w:hAnsi="Times New Roman" w:cs="Times New Roman"/>
          <w:noProof/>
          <w:color w:val="000000" w:themeColor="text1"/>
          <w:sz w:val="24"/>
          <w:szCs w:val="24"/>
        </w:rPr>
        <w:t>(</w:t>
      </w:r>
      <w:hyperlink w:anchor="AlAwadhi2020" w:history="1">
        <w:r w:rsidRPr="00F10029">
          <w:rPr>
            <w:rStyle w:val="Hyperlink"/>
            <w:rFonts w:ascii="Times New Roman" w:hAnsi="Times New Roman" w:cs="Times New Roman"/>
            <w:noProof/>
            <w:sz w:val="24"/>
            <w:szCs w:val="24"/>
            <w:u w:val="none"/>
          </w:rPr>
          <w:t>Al-Awadhi et al., 2020</w:t>
        </w:r>
      </w:hyperlink>
      <w:r w:rsidRPr="00F10029">
        <w:rPr>
          <w:rFonts w:ascii="Times New Roman" w:hAnsi="Times New Roman" w:cs="Times New Roman"/>
          <w:noProof/>
          <w:color w:val="000000" w:themeColor="text1"/>
          <w:sz w:val="24"/>
          <w:szCs w:val="24"/>
        </w:rPr>
        <w:t>)</w:t>
      </w:r>
      <w:r w:rsidRPr="00F10029">
        <w:rPr>
          <w:rFonts w:ascii="Times New Roman" w:hAnsi="Times New Roman" w:cs="Times New Roman"/>
          <w:color w:val="000000" w:themeColor="text1"/>
          <w:sz w:val="24"/>
          <w:szCs w:val="24"/>
        </w:rPr>
        <w:fldChar w:fldCharType="end"/>
      </w:r>
      <w:r w:rsidRPr="00F10029">
        <w:rPr>
          <w:rFonts w:ascii="Times New Roman" w:hAnsi="Times New Roman" w:cs="Times New Roman"/>
          <w:sz w:val="24"/>
          <w:szCs w:val="24"/>
        </w:rPr>
        <w:t xml:space="preserve">. In addition, </w:t>
      </w:r>
      <w:hyperlink w:anchor="Bai2020" w:history="1">
        <w:r w:rsidRPr="00F10029">
          <w:rPr>
            <w:rStyle w:val="Hyperlink"/>
            <w:rFonts w:ascii="Times New Roman" w:hAnsi="Times New Roman" w:cs="Times New Roman"/>
            <w:sz w:val="24"/>
            <w:szCs w:val="24"/>
            <w:u w:val="none"/>
          </w:rPr>
          <w:fldChar w:fldCharType="begin" w:fldLock="1"/>
        </w:r>
        <w:r w:rsidRPr="00F10029">
          <w:rPr>
            <w:rStyle w:val="Hyperlink"/>
            <w:rFonts w:ascii="Times New Roman" w:hAnsi="Times New Roman" w:cs="Times New Roman"/>
            <w:sz w:val="24"/>
            <w:szCs w:val="24"/>
            <w:u w:val="none"/>
          </w:rPr>
          <w:instrText>ADDIN CSL_CITATION {"citationItems":[{"id":"ITEM-1","itemData":{"DOI":"10.1016/j.frl.2020.101709","ISSN":"15446123","abstract":"Understanding the impact of infectious disease pandemic on stock market volatility is of great concerns for investors and policy makers, especially during recent new coronavirus spreading period. Using an extended GARCH-MIDAS model and a newly developed Infectious Disease Equity Market Volatility Tracker (EMV-ID), we investigate the effects of infectious disease pandemic on volatility of US, China, UK and Japan stock markets through January 2005 to April 2020. The empirical results show that, up to 24-month lag, infectious disease pandemic has significant positive impacts on the permanent volatility of international stock markets, even after controlling the influences of past realized volatility, global economic policy uncertainty and the volatility leverage effect. At different lags of eruptions in infectious disease pandemic, EMV-ID has distinct effects on various stock markets while it has the smallest impact on permanent volatility of China's stock market.","author":[{"dropping-particle":"","family":"Bai","given":"Lan","non-dropping-particle":"","parse-names":false,"suffix":""},{"dropping-particle":"","family":"Wei","given":"Yu","non-dropping-particle":"","parse-names":false,"suffix":""},{"dropping-particle":"","family":"Wei","given":"Guiwu","non-dropping-particle":"","parse-names":false,"suffix":""},{"dropping-particle":"","family":"Li","given":"Xiafei","non-dropping-particle":"","parse-names":false,"suffix":""},{"dropping-particle":"","family":"Zhang","given":"Songyun","non-dropping-particle":"","parse-names":false,"suffix":""}],"container-title":"Finance Research Letters","id":"ITEM-1","issue":"May","issued":{"date-parts":[["2020"]]},"page":"101709","publisher":"Elsevier","title":"Infectious disease pandemic and permanent volatility of international stock markets: A long-term perspective","type":"article-journal"},"uris":["http://www.mendeley.com/documents/?uuid=31f6a4fd-9013-4e6b-a33a-3c9ab5e6034c","http://www.mendeley.com/documents/?uuid=70673815-cc38-46fb-b0f4-c97fe84e8b1f"]}],"mendeley":{"formattedCitation":"(Bai et al., 2020)","manualFormatting":"Bai et al. (2020)","plainTextFormattedCitation":"(Bai et al., 2020)","previouslyFormattedCitation":"(Bai et al., 2020)"},"properties":{"noteIndex":0},"schema":"https://github.com/citation-style-language/schema/raw/master/csl-citation.json"}</w:instrText>
        </w:r>
        <w:r w:rsidRPr="00F10029">
          <w:rPr>
            <w:rStyle w:val="Hyperlink"/>
            <w:rFonts w:ascii="Times New Roman" w:hAnsi="Times New Roman" w:cs="Times New Roman"/>
            <w:sz w:val="24"/>
            <w:szCs w:val="24"/>
            <w:u w:val="none"/>
          </w:rPr>
          <w:fldChar w:fldCharType="separate"/>
        </w:r>
        <w:r w:rsidRPr="00F10029">
          <w:rPr>
            <w:rStyle w:val="Hyperlink"/>
            <w:rFonts w:ascii="Times New Roman" w:hAnsi="Times New Roman" w:cs="Times New Roman"/>
            <w:noProof/>
            <w:sz w:val="24"/>
            <w:szCs w:val="24"/>
            <w:u w:val="none"/>
          </w:rPr>
          <w:t>Bai et al. (2020)</w:t>
        </w:r>
        <w:r w:rsidRPr="00F10029">
          <w:rPr>
            <w:rStyle w:val="Hyperlink"/>
            <w:rFonts w:ascii="Times New Roman" w:hAnsi="Times New Roman" w:cs="Times New Roman"/>
            <w:sz w:val="24"/>
            <w:szCs w:val="24"/>
            <w:u w:val="none"/>
          </w:rPr>
          <w:fldChar w:fldCharType="end"/>
        </w:r>
      </w:hyperlink>
      <w:r w:rsidRPr="00F10029">
        <w:rPr>
          <w:rFonts w:ascii="Times New Roman" w:hAnsi="Times New Roman" w:cs="Times New Roman"/>
          <w:sz w:val="24"/>
          <w:szCs w:val="24"/>
        </w:rPr>
        <w:t xml:space="preserve"> found that the pandemic significantly impacted stock market volatility. The different reactions occurred due to other actions by the government in dealing with the pandemic.</w:t>
      </w:r>
    </w:p>
    <w:p w14:paraId="271634BC" w14:textId="77777777" w:rsidR="0057037C" w:rsidRPr="00F10029" w:rsidRDefault="0057037C" w:rsidP="0057037C">
      <w:pPr>
        <w:spacing w:after="0" w:line="240" w:lineRule="auto"/>
        <w:ind w:firstLine="567"/>
        <w:jc w:val="both"/>
        <w:rPr>
          <w:rFonts w:ascii="Times New Roman" w:hAnsi="Times New Roman" w:cs="Times New Roman"/>
          <w:sz w:val="24"/>
          <w:szCs w:val="24"/>
        </w:rPr>
      </w:pPr>
      <w:r w:rsidRPr="00F10029">
        <w:rPr>
          <w:rFonts w:ascii="Times New Roman" w:hAnsi="Times New Roman" w:cs="Times New Roman"/>
          <w:sz w:val="24"/>
          <w:szCs w:val="24"/>
        </w:rPr>
        <w:t>The COVID-19 pandemic exemplifies a VUCA environment, where volatility is reflected in the sharp fluctuations of stock markets and economic contractions, uncertainty emerges from the unpredictable spread of the virus and its financial impact, complexity is evident in the interconnected disruptions across industries like healthcare, transportation, and food and beverage, and ambiguity arises from inconsistent government responses and investor behavior</w:t>
      </w:r>
      <w:r w:rsidRPr="00F10029">
        <w:rPr>
          <w:rFonts w:ascii="Times New Roman" w:hAnsi="Times New Roman" w:cs="Times New Roman"/>
          <w:sz w:val="24"/>
          <w:szCs w:val="24"/>
          <w:lang w:val="id-ID"/>
        </w:rPr>
        <w:t xml:space="preserve"> </w:t>
      </w:r>
      <w:r w:rsidRPr="00F10029">
        <w:rPr>
          <w:rFonts w:ascii="Times New Roman" w:hAnsi="Times New Roman" w:cs="Times New Roman"/>
          <w:sz w:val="24"/>
          <w:szCs w:val="24"/>
          <w:lang w:val="id-ID"/>
        </w:rPr>
        <w:fldChar w:fldCharType="begin" w:fldLock="1"/>
      </w:r>
      <w:r w:rsidRPr="00F10029">
        <w:rPr>
          <w:rFonts w:ascii="Times New Roman" w:hAnsi="Times New Roman" w:cs="Times New Roman"/>
          <w:sz w:val="24"/>
          <w:szCs w:val="24"/>
          <w:lang w:val="id-ID"/>
        </w:rPr>
        <w:instrText>ADDIN CSL_CITATION {"citationItems":[{"id":"ITEM-1","itemData":{"DOI":"https://doi.org/10.1016/j.wds.2024.100175","ISSN":"2772-655X","abstract":"The United Nations certified the Sustainable Development Goals (SDGs) in 2015. The Sustainable Development Goals (SDGs) emphasise the crucial and multifaceted contribution the business sector can make to their achievement. This study analyses sustainable livelihood models as potential solutions that could aid in attaining the SDGs. This research aimed to examine women entrepreneurs' access from the perspective of Sustainable Livelihoods, specifically focusing on business strategies based on volatility, uncertainty, complexity, and ambiguity. The study used a quantitative method to identify five components of sustainable livelihood strategies that women entrepreneurs in Indonesia have developed in response to the uncertainties brought about by the COVID-19 pandemic using Partial Least Square (PLS). The data in this study were obtained by administering a survey that utilised a structured questionnaire. The participants in this research were female entrepreneurs who had been actively operating their enterprises for an average duration of three years. The study's sample size consisted of 168 participants. The theoretical framework adopted for this study encompassed sustainable livelihoods and business strategies for survival. This study emphasises the significance of comprehending the behavioural patterns of women entrepreneurs during periods of uncertainty and demonstrates that the contextual factors of a country play a crucial role. The study recommends increasing government funding towards training small and medium-sized enterprise (SME) proprietors. This should prioritise enhancing accessibility to training opportunities, fostering networking initiatives, facilitating financial resources, and promoting company development. Additionally, the study emphasises the importance of implementing suitable government support programmes to address these areas of concern effectively.","author":[{"dropping-particle":"","family":"Hendratmi","given":"Achsania","non-dropping-particle":"","parse-names":false,"suffix":""},{"dropping-particle":"","family":"Salleh","given":"Marhanum Che Mohd","non-dropping-particle":"","parse-names":false,"suffix":""},{"dropping-particle":"","family":"Sukmaningrum","given":"Puji Sucia","non-dropping-particle":"","parse-names":false,"suffix":""},{"dropping-particle":"","family":"Ratnasari","given":"Ririn Tri","non-dropping-particle":"","parse-names":false,"suffix":""}],"container-title":"World Development Sustainability","id":"ITEM-1","issued":{"date-parts":[["2024"]]},"page":"100175","title":"Toward SDG's 8: How sustainability livelihood affecting survival strategy of woman entrepreneurs in Indonesia","type":"article-journal","volume":"5"},"uris":["http://www.mendeley.com/documents/?uuid=da5318ed-b05d-4615-a33e-6887117b75b2"]}],"mendeley":{"formattedCitation":"(Hendratmi et al., 2024)","plainTextFormattedCitation":"(Hendratmi et al., 2024)","previouslyFormattedCitation":"(Hendratmi et al., 2024)"},"properties":{"noteIndex":0},"schema":"https://github.com/citation-style-language/schema/raw/master/csl-citation.json"}</w:instrText>
      </w:r>
      <w:r w:rsidRPr="00F10029">
        <w:rPr>
          <w:rFonts w:ascii="Times New Roman" w:hAnsi="Times New Roman" w:cs="Times New Roman"/>
          <w:sz w:val="24"/>
          <w:szCs w:val="24"/>
          <w:lang w:val="id-ID"/>
        </w:rPr>
        <w:fldChar w:fldCharType="separate"/>
      </w:r>
      <w:r w:rsidRPr="00F10029">
        <w:rPr>
          <w:rFonts w:ascii="Times New Roman" w:hAnsi="Times New Roman" w:cs="Times New Roman"/>
          <w:noProof/>
          <w:sz w:val="24"/>
          <w:szCs w:val="24"/>
          <w:lang w:val="id-ID"/>
        </w:rPr>
        <w:t>(</w:t>
      </w:r>
      <w:hyperlink w:anchor="Hendratmi2024" w:history="1">
        <w:r w:rsidRPr="00F10029">
          <w:rPr>
            <w:rStyle w:val="Hyperlink"/>
            <w:rFonts w:ascii="Times New Roman" w:hAnsi="Times New Roman" w:cs="Times New Roman"/>
            <w:noProof/>
            <w:sz w:val="24"/>
            <w:szCs w:val="24"/>
            <w:u w:val="none"/>
            <w:lang w:val="id-ID"/>
          </w:rPr>
          <w:t>Hendratmi et al., 2024</w:t>
        </w:r>
      </w:hyperlink>
      <w:r w:rsidRPr="00F10029">
        <w:rPr>
          <w:rFonts w:ascii="Times New Roman" w:hAnsi="Times New Roman" w:cs="Times New Roman"/>
          <w:noProof/>
          <w:sz w:val="24"/>
          <w:szCs w:val="24"/>
          <w:lang w:val="id-ID"/>
        </w:rPr>
        <w:t>)</w:t>
      </w:r>
      <w:r w:rsidRPr="00F10029">
        <w:rPr>
          <w:rFonts w:ascii="Times New Roman" w:hAnsi="Times New Roman" w:cs="Times New Roman"/>
          <w:sz w:val="24"/>
          <w:szCs w:val="24"/>
          <w:lang w:val="id-ID"/>
        </w:rPr>
        <w:fldChar w:fldCharType="end"/>
      </w:r>
      <w:r w:rsidRPr="00F10029">
        <w:rPr>
          <w:rFonts w:ascii="Times New Roman" w:hAnsi="Times New Roman" w:cs="Times New Roman"/>
          <w:sz w:val="24"/>
          <w:szCs w:val="24"/>
        </w:rPr>
        <w:t>. This volatile and uncertain landscape challenged traditional decision-making, forcing investors, businesses, and policymakers to navigate rapidly changing scenarios with limited information and increasing risks.</w:t>
      </w:r>
    </w:p>
    <w:p w14:paraId="19F1CD24" w14:textId="77777777" w:rsidR="0057037C" w:rsidRPr="00F10029" w:rsidRDefault="0057037C" w:rsidP="0057037C">
      <w:pPr>
        <w:spacing w:after="0" w:line="240" w:lineRule="auto"/>
        <w:ind w:firstLine="567"/>
        <w:jc w:val="both"/>
        <w:rPr>
          <w:rFonts w:ascii="Times New Roman" w:hAnsi="Times New Roman" w:cs="Times New Roman"/>
          <w:sz w:val="24"/>
          <w:szCs w:val="24"/>
        </w:rPr>
      </w:pPr>
      <w:r w:rsidRPr="00F10029">
        <w:rPr>
          <w:rFonts w:ascii="Times New Roman" w:hAnsi="Times New Roman" w:cs="Times New Roman"/>
          <w:sz w:val="24"/>
          <w:szCs w:val="24"/>
        </w:rPr>
        <w:t xml:space="preserve">The stock market is a macroeconomic barometer, so the impact of an infectious disease pandemic on the economy can directly be reflected in the volatility of stock market prices </w:t>
      </w:r>
      <w:r w:rsidRPr="00F10029">
        <w:rPr>
          <w:rFonts w:ascii="Times New Roman" w:hAnsi="Times New Roman" w:cs="Times New Roman"/>
          <w:color w:val="000000" w:themeColor="text1"/>
          <w:sz w:val="24"/>
          <w:szCs w:val="24"/>
        </w:rPr>
        <w:fldChar w:fldCharType="begin" w:fldLock="1"/>
      </w:r>
      <w:r w:rsidRPr="00F10029">
        <w:rPr>
          <w:rFonts w:ascii="Times New Roman" w:hAnsi="Times New Roman" w:cs="Times New Roman"/>
          <w:color w:val="000000" w:themeColor="text1"/>
          <w:sz w:val="24"/>
          <w:szCs w:val="24"/>
        </w:rPr>
        <w:instrText>ADDIN CSL_CITATION {"citationItems":[{"id":"ITEM-1","itemData":{"DOI":"10.1016/j.frl.2020.101709","ISSN":"15446123","abstract":"Understanding the impact of infectious disease pandemic on stock market volatility is of great concerns for investors and policy makers, especially during recent new coronavirus spreading period. Using an extended GARCH-MIDAS model and a newly developed Infectious Disease Equity Market Volatility Tracker (EMV-ID), we investigate the effects of infectious disease pandemic on volatility of US, China, UK and Japan stock markets through January 2005 to April 2020. The empirical results show that, up to 24-month lag, infectious disease pandemic has significant positive impacts on the permanent volatility of international stock markets, even after controlling the influences of past realized volatility, global economic policy uncertainty and the volatility leverage effect. At different lags of eruptions in infectious disease pandemic, EMV-ID has distinct effects on various stock markets while it has the smallest impact on permanent volatility of China's stock market.","author":[{"dropping-particle":"","family":"Bai","given":"Lan","non-dropping-particle":"","parse-names":false,"suffix":""},{"dropping-particle":"","family":"Wei","given":"Yu","non-dropping-particle":"","parse-names":false,"suffix":""},{"dropping-particle":"","family":"Wei","given":"Guiwu","non-dropping-particle":"","parse-names":false,"suffix":""},{"dropping-particle":"","family":"Li","given":"Xiafei","non-dropping-particle":"","parse-names":false,"suffix":""},{"dropping-particle":"","family":"Zhang","given":"Songyun","non-dropping-particle":"","parse-names":false,"suffix":""}],"container-title":"Finance Research Letters","id":"ITEM-1","issue":"May","issued":{"date-parts":[["2020"]]},"page":"101709","publisher":"Elsevier","title":"Infectious disease pandemic and permanent volatility of international stock markets: A long-term perspective","type":"article-journal"},"uris":["http://www.mendeley.com/documents/?uuid=70673815-cc38-46fb-b0f4-c97fe84e8b1f","http://www.mendeley.com/documents/?uuid=31f6a4fd-9013-4e6b-a33a-3c9ab5e6034c"]}],"mendeley":{"formattedCitation":"(Bai et al., 2020)","plainTextFormattedCitation":"(Bai et al., 2020)","previouslyFormattedCitation":"(Bai et al., 2020)"},"properties":{"noteIndex":0},"schema":"https://github.com/citation-style-language/schema/raw/master/csl-citation.json"}</w:instrText>
      </w:r>
      <w:r w:rsidRPr="00F10029">
        <w:rPr>
          <w:rFonts w:ascii="Times New Roman" w:hAnsi="Times New Roman" w:cs="Times New Roman"/>
          <w:color w:val="000000" w:themeColor="text1"/>
          <w:sz w:val="24"/>
          <w:szCs w:val="24"/>
        </w:rPr>
        <w:fldChar w:fldCharType="separate"/>
      </w:r>
      <w:r w:rsidRPr="00F10029">
        <w:rPr>
          <w:rFonts w:ascii="Times New Roman" w:hAnsi="Times New Roman" w:cs="Times New Roman"/>
          <w:noProof/>
          <w:color w:val="000000" w:themeColor="text1"/>
          <w:sz w:val="24"/>
          <w:szCs w:val="24"/>
        </w:rPr>
        <w:t>(</w:t>
      </w:r>
      <w:hyperlink w:anchor="Bai2020" w:history="1">
        <w:r w:rsidRPr="00F10029">
          <w:rPr>
            <w:rStyle w:val="Hyperlink"/>
            <w:rFonts w:ascii="Times New Roman" w:hAnsi="Times New Roman" w:cs="Times New Roman"/>
            <w:noProof/>
            <w:sz w:val="24"/>
            <w:szCs w:val="24"/>
            <w:u w:val="none"/>
          </w:rPr>
          <w:t>Bai et al., 2020</w:t>
        </w:r>
      </w:hyperlink>
      <w:r w:rsidRPr="00F10029">
        <w:rPr>
          <w:rFonts w:ascii="Times New Roman" w:hAnsi="Times New Roman" w:cs="Times New Roman"/>
          <w:noProof/>
          <w:color w:val="000000" w:themeColor="text1"/>
          <w:sz w:val="24"/>
          <w:szCs w:val="24"/>
        </w:rPr>
        <w:t>)</w:t>
      </w:r>
      <w:r w:rsidRPr="00F10029">
        <w:rPr>
          <w:rFonts w:ascii="Times New Roman" w:hAnsi="Times New Roman" w:cs="Times New Roman"/>
          <w:color w:val="000000" w:themeColor="text1"/>
          <w:sz w:val="24"/>
          <w:szCs w:val="24"/>
        </w:rPr>
        <w:fldChar w:fldCharType="end"/>
      </w:r>
      <w:r w:rsidRPr="00F10029">
        <w:rPr>
          <w:rFonts w:ascii="Times New Roman" w:hAnsi="Times New Roman" w:cs="Times New Roman"/>
          <w:color w:val="000000" w:themeColor="text1"/>
          <w:sz w:val="24"/>
          <w:szCs w:val="24"/>
        </w:rPr>
        <w:t xml:space="preserve">. </w:t>
      </w:r>
      <w:r w:rsidRPr="00F10029">
        <w:rPr>
          <w:rFonts w:ascii="Times New Roman" w:hAnsi="Times New Roman" w:cs="Times New Roman"/>
          <w:sz w:val="24"/>
          <w:szCs w:val="24"/>
        </w:rPr>
        <w:t xml:space="preserve">Previous studies have identified several significant events affecting the stock market, for example, disasters </w:t>
      </w:r>
      <w:r w:rsidRPr="00F10029">
        <w:rPr>
          <w:rFonts w:ascii="Times New Roman" w:hAnsi="Times New Roman" w:cs="Times New Roman"/>
          <w:color w:val="000000" w:themeColor="text1"/>
          <w:sz w:val="24"/>
          <w:szCs w:val="24"/>
        </w:rPr>
        <w:fldChar w:fldCharType="begin" w:fldLock="1"/>
      </w:r>
      <w:r w:rsidRPr="00F10029">
        <w:rPr>
          <w:rFonts w:ascii="Times New Roman" w:hAnsi="Times New Roman" w:cs="Times New Roman"/>
          <w:color w:val="000000" w:themeColor="text1"/>
          <w:sz w:val="24"/>
          <w:szCs w:val="24"/>
        </w:rPr>
        <w:instrText>ADDIN CSL_CITATION {"citationItems":[{"id":"ITEM-1","itemData":{"DOI":"10.1016/j.jcomm.2020.100124","ISSN":"24058513","abstract":"We examine the stock market reaction to disasters in potash mines. We use a sample of 55 mining accidents – natural and man-made - worldwide over the period 1986–2019. On average, the affected mining firms experience a cumulative drop in their market value of 1.15% in the first 2 ​day ​day of a disaster. We show also that the accidents impact stocks of the current and future (greenfield) competitors of the affected firms. The direction and size of the effect is determined by the relative strength of the negative risk effect and positive price and supply effects.","author":[{"dropping-particle":"","family":"Kowalewski","given":"Oskar","non-dropping-particle":"","parse-names":false,"suffix":""},{"dropping-particle":"","family":"Śpiewanowski","given":"Piotr","non-dropping-particle":"","parse-names":false,"suffix":""}],"container-title":"Journal of Commodity Markets","id":"ITEM-1","issued":{"date-parts":[["2020"]]},"page":"1-22","title":"Stock market response to potash mine disasters","type":"article-journal","volume":"20"},"uris":["http://www.mendeley.com/documents/?uuid=a4b75880-e3e4-4c98-a8b0-befb81102fae","http://www.mendeley.com/documents/?uuid=5b8e1e6a-91d2-46d0-ab57-128f1b64025d","http://www.mendeley.com/documents/?uuid=a21de737-d9b6-4136-b230-7c9e73ca186f"]}],"mendeley":{"formattedCitation":"(Kowalewski &amp; Śpiewanowski, 2020)","plainTextFormattedCitation":"(Kowalewski &amp; Śpiewanowski, 2020)","previouslyFormattedCitation":"(Kowalewski &amp; Śpiewanowski, 2020)"},"properties":{"noteIndex":0},"schema":"https://github.com/citation-style-language/schema/raw/master/csl-citation.json"}</w:instrText>
      </w:r>
      <w:r w:rsidRPr="00F10029">
        <w:rPr>
          <w:rFonts w:ascii="Times New Roman" w:hAnsi="Times New Roman" w:cs="Times New Roman"/>
          <w:color w:val="000000" w:themeColor="text1"/>
          <w:sz w:val="24"/>
          <w:szCs w:val="24"/>
        </w:rPr>
        <w:fldChar w:fldCharType="separate"/>
      </w:r>
      <w:r w:rsidRPr="00F10029">
        <w:rPr>
          <w:rFonts w:ascii="Times New Roman" w:hAnsi="Times New Roman" w:cs="Times New Roman"/>
          <w:noProof/>
          <w:color w:val="000000" w:themeColor="text1"/>
          <w:sz w:val="24"/>
          <w:szCs w:val="24"/>
        </w:rPr>
        <w:t>(</w:t>
      </w:r>
      <w:hyperlink w:anchor="Kowalewski2020" w:history="1">
        <w:r w:rsidRPr="00F10029">
          <w:rPr>
            <w:rStyle w:val="Hyperlink"/>
            <w:rFonts w:ascii="Times New Roman" w:hAnsi="Times New Roman" w:cs="Times New Roman"/>
            <w:noProof/>
            <w:sz w:val="24"/>
            <w:szCs w:val="24"/>
            <w:u w:val="none"/>
          </w:rPr>
          <w:t>Kowalewski &amp; Śpiewanowski, 2020</w:t>
        </w:r>
      </w:hyperlink>
      <w:r w:rsidRPr="00F10029">
        <w:rPr>
          <w:rFonts w:ascii="Times New Roman" w:hAnsi="Times New Roman" w:cs="Times New Roman"/>
          <w:noProof/>
          <w:color w:val="000000" w:themeColor="text1"/>
          <w:sz w:val="24"/>
          <w:szCs w:val="24"/>
        </w:rPr>
        <w:t>)</w:t>
      </w:r>
      <w:r w:rsidRPr="00F10029">
        <w:rPr>
          <w:rFonts w:ascii="Times New Roman" w:hAnsi="Times New Roman" w:cs="Times New Roman"/>
          <w:color w:val="000000" w:themeColor="text1"/>
          <w:sz w:val="24"/>
          <w:szCs w:val="24"/>
        </w:rPr>
        <w:fldChar w:fldCharType="end"/>
      </w:r>
      <w:r w:rsidRPr="00F10029">
        <w:rPr>
          <w:rFonts w:ascii="Times New Roman" w:hAnsi="Times New Roman" w:cs="Times New Roman"/>
          <w:color w:val="000000" w:themeColor="text1"/>
          <w:sz w:val="24"/>
          <w:szCs w:val="24"/>
        </w:rPr>
        <w:t xml:space="preserve">, </w:t>
      </w:r>
      <w:r w:rsidRPr="00F10029">
        <w:rPr>
          <w:rFonts w:ascii="Times New Roman" w:hAnsi="Times New Roman" w:cs="Times New Roman"/>
          <w:sz w:val="24"/>
          <w:szCs w:val="24"/>
        </w:rPr>
        <w:t xml:space="preserve">sports </w:t>
      </w:r>
      <w:r w:rsidRPr="00F10029">
        <w:rPr>
          <w:rFonts w:ascii="Times New Roman" w:hAnsi="Times New Roman" w:cs="Times New Roman"/>
          <w:color w:val="000000" w:themeColor="text1"/>
          <w:sz w:val="24"/>
          <w:szCs w:val="24"/>
        </w:rPr>
        <w:fldChar w:fldCharType="begin" w:fldLock="1"/>
      </w:r>
      <w:r w:rsidRPr="00F10029">
        <w:rPr>
          <w:rFonts w:ascii="Times New Roman" w:hAnsi="Times New Roman" w:cs="Times New Roman"/>
          <w:color w:val="000000" w:themeColor="text1"/>
          <w:sz w:val="24"/>
          <w:szCs w:val="24"/>
        </w:rPr>
        <w:instrText>ADDIN CSL_CITATION {"citationItems":[{"id":"ITEM-1","itemData":{"DOI":"10.1016/j.jbef.2018.01.010","ISSN":"22146350","abstract":"Why do some soccer bettors lose more money than others? In an efficient prediction market, each gambler should break-even before costs (but losing a constant amount after costs, reflecting the bookmaker's margin). Previous empirical studies across numerous sports betting markets show that bets on longshots tend to lose more than bets on favourites (favourite-longshot bias). We use 163,992 soccer odds from ten European leagues to test plausible hypotheses around why some soccer bettors lose more money than others. Are soccer bettors with above average losses simply biased, or are their losses driven by betting on events that are inherently unpredictable? We confirm the existence of favourite-longshot bias in soccer in this sample, but find another surprising feature of betting on longshots. As measured by the Brier score, bookmakers’ odds were better predictors of longshots than favourites, suggesting another potential channel whereby bettors’ preference for betting on longshots may cost them dearly.","author":[{"dropping-particle":"","family":"Buhagiar","given":"Ranier","non-dropping-particle":"","parse-names":false,"suffix":""},{"dropping-particle":"","family":"Cortis","given":"Dominic","non-dropping-particle":"","parse-names":false,"suffix":""},{"dropping-particle":"","family":"Newall","given":"Philip W.S.","non-dropping-particle":"","parse-names":false,"suffix":""}],"container-title":"Journal of Behavioral and Experimental Finance","id":"ITEM-1","issued":{"date-parts":[["2018"]]},"page":"85-93","publisher":"Elsevier B.V.","title":"Why do some soccer bettors lose more money than others?","type":"article-journal","volume":"18"},"uris":["http://www.mendeley.com/documents/?uuid=e00ce9fe-551d-4e15-a5d7-15b3d48fecf9","http://www.mendeley.com/documents/?uuid=b592c12a-1bb1-465c-ab6b-a3c046076544","http://www.mendeley.com/documents/?uuid=7d558161-4957-478e-962d-3d8a4368bf5a"]}],"mendeley":{"formattedCitation":"(Buhagiar et al., 2018)","plainTextFormattedCitation":"(Buhagiar et al., 2018)","previouslyFormattedCitation":"(Buhagiar et al., 2018)"},"properties":{"noteIndex":0},"schema":"https://github.com/citation-style-language/schema/raw/master/csl-citation.json"}</w:instrText>
      </w:r>
      <w:r w:rsidRPr="00F10029">
        <w:rPr>
          <w:rFonts w:ascii="Times New Roman" w:hAnsi="Times New Roman" w:cs="Times New Roman"/>
          <w:color w:val="000000" w:themeColor="text1"/>
          <w:sz w:val="24"/>
          <w:szCs w:val="24"/>
        </w:rPr>
        <w:fldChar w:fldCharType="separate"/>
      </w:r>
      <w:r w:rsidRPr="00F10029">
        <w:rPr>
          <w:rFonts w:ascii="Times New Roman" w:hAnsi="Times New Roman" w:cs="Times New Roman"/>
          <w:noProof/>
          <w:color w:val="000000" w:themeColor="text1"/>
          <w:sz w:val="24"/>
          <w:szCs w:val="24"/>
        </w:rPr>
        <w:t>(</w:t>
      </w:r>
      <w:hyperlink w:anchor="Buhagiar2018" w:history="1">
        <w:r w:rsidRPr="00F10029">
          <w:rPr>
            <w:rStyle w:val="Hyperlink"/>
            <w:rFonts w:ascii="Times New Roman" w:hAnsi="Times New Roman" w:cs="Times New Roman"/>
            <w:noProof/>
            <w:sz w:val="24"/>
            <w:szCs w:val="24"/>
            <w:u w:val="none"/>
          </w:rPr>
          <w:t>Buhagiar et al., 2018</w:t>
        </w:r>
      </w:hyperlink>
      <w:r w:rsidRPr="00F10029">
        <w:rPr>
          <w:rFonts w:ascii="Times New Roman" w:hAnsi="Times New Roman" w:cs="Times New Roman"/>
          <w:noProof/>
          <w:color w:val="000000" w:themeColor="text1"/>
          <w:sz w:val="24"/>
          <w:szCs w:val="24"/>
        </w:rPr>
        <w:t>)</w:t>
      </w:r>
      <w:r w:rsidRPr="00F10029">
        <w:rPr>
          <w:rFonts w:ascii="Times New Roman" w:hAnsi="Times New Roman" w:cs="Times New Roman"/>
          <w:color w:val="000000" w:themeColor="text1"/>
          <w:sz w:val="24"/>
          <w:szCs w:val="24"/>
        </w:rPr>
        <w:fldChar w:fldCharType="end"/>
      </w:r>
      <w:r w:rsidRPr="00F10029">
        <w:rPr>
          <w:rFonts w:ascii="Times New Roman" w:hAnsi="Times New Roman" w:cs="Times New Roman"/>
          <w:color w:val="000000" w:themeColor="text1"/>
          <w:sz w:val="24"/>
          <w:szCs w:val="24"/>
        </w:rPr>
        <w:t xml:space="preserve">, news </w:t>
      </w:r>
      <w:r w:rsidRPr="00F10029">
        <w:rPr>
          <w:rFonts w:ascii="Times New Roman" w:hAnsi="Times New Roman" w:cs="Times New Roman"/>
          <w:color w:val="000000" w:themeColor="text1"/>
          <w:sz w:val="24"/>
          <w:szCs w:val="24"/>
        </w:rPr>
        <w:fldChar w:fldCharType="begin" w:fldLock="1"/>
      </w:r>
      <w:r w:rsidRPr="00F10029">
        <w:rPr>
          <w:rFonts w:ascii="Times New Roman" w:hAnsi="Times New Roman" w:cs="Times New Roman"/>
          <w:color w:val="000000" w:themeColor="text1"/>
          <w:sz w:val="24"/>
          <w:szCs w:val="24"/>
        </w:rPr>
        <w:instrText>ADDIN CSL_CITATION {"citationItems":[{"id":"ITEM-1","itemData":{"DOI":"10.1016/j.jbef.2018.03.004","ISBN":"8618230332","ISSN":"22146350","abstract":"This study investigates how stock markets react to different news categorized by diverse aspects. We take the Xiong'an New Area Strategy, the most recent breaking event and milestone national plan in China, as the target to study. We collect Xiong'an-related news and classify them by different aspects: sentiment, source and origin of viewpoints. Our results indicate that positive news improves the performance of the stock market and the trading of individual stocks, whereas negative news impedes them. News from government-related media has greater effects on stock market and stocks than news from other sources. News with viewpoints from academia has greater effects than news with viewpoints from governments and industries.","author":[{"dropping-particle":"","family":"Li","given":"Kun","non-dropping-particle":"","parse-names":false,"suffix":""}],"container-title":"Journal of Behavioral and Experimental Finance","id":"ITEM-1","issued":{"date-parts":[["2018"]]},"page":"36-38","publisher":"Elsevier B.V.","title":"Reaction to news in the Chinese stock market: A study on Xiong'an New Area Strategy","type":"article-journal","volume":"19"},"uris":["http://www.mendeley.com/documents/?uuid=ef8fcc20-62f4-4833-a6fe-f89ce350b484","http://www.mendeley.com/documents/?uuid=3a69b61f-9528-47a3-b32c-008639b5846e","http://www.mendeley.com/documents/?uuid=d55c296f-21bc-4417-b47d-38f201f2beec"]}],"mendeley":{"formattedCitation":"(Li, 2018)","plainTextFormattedCitation":"(Li, 2018)","previouslyFormattedCitation":"(Li, 2018)"},"properties":{"noteIndex":0},"schema":"https://github.com/citation-style-language/schema/raw/master/csl-citation.json"}</w:instrText>
      </w:r>
      <w:r w:rsidRPr="00F10029">
        <w:rPr>
          <w:rFonts w:ascii="Times New Roman" w:hAnsi="Times New Roman" w:cs="Times New Roman"/>
          <w:color w:val="000000" w:themeColor="text1"/>
          <w:sz w:val="24"/>
          <w:szCs w:val="24"/>
        </w:rPr>
        <w:fldChar w:fldCharType="separate"/>
      </w:r>
      <w:r w:rsidRPr="00F10029">
        <w:rPr>
          <w:rFonts w:ascii="Times New Roman" w:hAnsi="Times New Roman" w:cs="Times New Roman"/>
          <w:noProof/>
          <w:color w:val="000000" w:themeColor="text1"/>
          <w:sz w:val="24"/>
          <w:szCs w:val="24"/>
        </w:rPr>
        <w:t>(</w:t>
      </w:r>
      <w:hyperlink w:anchor="Li2018" w:history="1">
        <w:r w:rsidRPr="00F10029">
          <w:rPr>
            <w:rStyle w:val="Hyperlink"/>
            <w:rFonts w:ascii="Times New Roman" w:hAnsi="Times New Roman" w:cs="Times New Roman"/>
            <w:noProof/>
            <w:sz w:val="24"/>
            <w:szCs w:val="24"/>
            <w:u w:val="none"/>
          </w:rPr>
          <w:t>Li, 2018</w:t>
        </w:r>
      </w:hyperlink>
      <w:r w:rsidRPr="00F10029">
        <w:rPr>
          <w:rFonts w:ascii="Times New Roman" w:hAnsi="Times New Roman" w:cs="Times New Roman"/>
          <w:noProof/>
          <w:color w:val="000000" w:themeColor="text1"/>
          <w:sz w:val="24"/>
          <w:szCs w:val="24"/>
        </w:rPr>
        <w:t>)</w:t>
      </w:r>
      <w:r w:rsidRPr="00F10029">
        <w:rPr>
          <w:rFonts w:ascii="Times New Roman" w:hAnsi="Times New Roman" w:cs="Times New Roman"/>
          <w:color w:val="000000" w:themeColor="text1"/>
          <w:sz w:val="24"/>
          <w:szCs w:val="24"/>
        </w:rPr>
        <w:fldChar w:fldCharType="end"/>
      </w:r>
      <w:r w:rsidRPr="00F10029">
        <w:rPr>
          <w:rFonts w:ascii="Times New Roman" w:hAnsi="Times New Roman" w:cs="Times New Roman"/>
          <w:color w:val="000000" w:themeColor="text1"/>
          <w:sz w:val="24"/>
          <w:szCs w:val="24"/>
        </w:rPr>
        <w:t xml:space="preserve">, </w:t>
      </w:r>
      <w:r w:rsidRPr="00F10029">
        <w:rPr>
          <w:rFonts w:ascii="Times New Roman" w:hAnsi="Times New Roman" w:cs="Times New Roman"/>
          <w:sz w:val="24"/>
          <w:szCs w:val="24"/>
        </w:rPr>
        <w:t xml:space="preserve">environment </w:t>
      </w:r>
      <w:r w:rsidRPr="00F10029">
        <w:rPr>
          <w:rFonts w:ascii="Times New Roman" w:hAnsi="Times New Roman" w:cs="Times New Roman"/>
          <w:color w:val="000000" w:themeColor="text1"/>
          <w:sz w:val="24"/>
          <w:szCs w:val="24"/>
        </w:rPr>
        <w:t>(</w:t>
      </w:r>
      <w:hyperlink w:anchor="Alsaifi2020" w:history="1">
        <w:r w:rsidRPr="00F10029">
          <w:rPr>
            <w:rStyle w:val="Hyperlink"/>
            <w:rFonts w:ascii="Times New Roman" w:hAnsi="Times New Roman" w:cs="Times New Roman"/>
            <w:sz w:val="24"/>
            <w:szCs w:val="24"/>
            <w:u w:val="none"/>
          </w:rPr>
          <w:fldChar w:fldCharType="begin" w:fldLock="1"/>
        </w:r>
        <w:r w:rsidRPr="00F10029">
          <w:rPr>
            <w:rStyle w:val="Hyperlink"/>
            <w:rFonts w:ascii="Times New Roman" w:hAnsi="Times New Roman" w:cs="Times New Roman"/>
            <w:sz w:val="24"/>
            <w:szCs w:val="24"/>
            <w:u w:val="none"/>
          </w:rPr>
          <w:instrText>ADDIN CSL_CITATION {"citationItems":[{"id":"ITEM-1","itemData":{"DOI":"10.1016/j.jclepro.2020.121377","ISSN":"09596526","abstract":"In corporate boardrooms around the world, climate change has quickly risen to become a major issue, matching public concern. Recently, corporate management has encountered stakeholder pressure to disclose more information about their carbon profile and their plans to improve it. They have also been challenged to find the appropriate strategy for carbon disclosures, requiring an understanding of the costs and benefits of both carbon improvement initiatives and the reporting of them. Using a unique data set that contains firms listed on the FTSE 350 index on the London Stock Exchange market from 2009 to 2015, we apply the event study method to examine market reaction to carbon disclosures. The results show that investors respond significantly negatively to carbon disclosure announcements via Carbon Disclosure Project (CDP) of FTSE 350 firms. Moreover, for firms working in carbon-intensive industries, investors react to carbon disclosure announcements in a more significantly negative way compared with the main sample. We also find that the study's main findings are driven by the smaller FTSE 350 firms. Furthermore, a subsample of observations for the financial crisis period of 2007–2008 was analyzed to explore the examined relationship during the crisis. In contrast, a significant positive market reaction to carbon disclosure was found for the 2007–2008 crisis period. Our study's findings offer fresh insight and updated policy implications for investors, management and sustainability institutions. We recommend management accompanies their carbon disclosures with more explicit statements of reasons for carbon initiatives and the benefits arising from them.","author":[{"dropping-particle":"","family":"Alsaifi","given":"Khaled","non-dropping-particle":"","parse-names":false,"suffix":""},{"dropping-particle":"","family":"Elnahass","given":"Marwa","non-dropping-particle":"","parse-names":false,"suffix":""},{"dropping-particle":"","family":"Salama","given":"Aly","non-dropping-particle":"","parse-names":false,"suffix":""}],"container-title":"Journal of Cleaner Production","id":"ITEM-1","issued":{"date-parts":[["2020"]]},"page":"1-11","title":"Market responses to firms’ voluntary carbon disclosure: Empirical evidence from the United Kingdom","type":"article-journal","volume":"262"},"uris":["http://www.mendeley.com/documents/?uuid=95c0408a-24b7-4a4f-ae12-1353cb9e0ee3","http://www.mendeley.com/documents/?uuid=12272a64-abe0-4777-9050-e380fa092bf9","http://www.mendeley.com/documents/?uuid=55e9e8e9-d8c7-4cc5-9d7e-ce2fac814022"]}],"mendeley":{"formattedCitation":"(Alsaifi et al., 2020)","manualFormatting":"Alsaifi et al., 2020","plainTextFormattedCitation":"(Alsaifi et al., 2020)","previouslyFormattedCitation":"(Alsaifi et al., 2020)"},"properties":{"noteIndex":0},"schema":"https://github.com/citation-style-language/schema/raw/master/csl-citation.json"}</w:instrText>
        </w:r>
        <w:r w:rsidRPr="00F10029">
          <w:rPr>
            <w:rStyle w:val="Hyperlink"/>
            <w:rFonts w:ascii="Times New Roman" w:hAnsi="Times New Roman" w:cs="Times New Roman"/>
            <w:sz w:val="24"/>
            <w:szCs w:val="24"/>
            <w:u w:val="none"/>
          </w:rPr>
          <w:fldChar w:fldCharType="separate"/>
        </w:r>
        <w:r w:rsidRPr="00F10029">
          <w:rPr>
            <w:rStyle w:val="Hyperlink"/>
            <w:rFonts w:ascii="Times New Roman" w:hAnsi="Times New Roman" w:cs="Times New Roman"/>
            <w:noProof/>
            <w:sz w:val="24"/>
            <w:szCs w:val="24"/>
            <w:u w:val="none"/>
          </w:rPr>
          <w:t>Alsaifi et al., 2020</w:t>
        </w:r>
        <w:r w:rsidRPr="00F10029">
          <w:rPr>
            <w:rStyle w:val="Hyperlink"/>
            <w:rFonts w:ascii="Times New Roman" w:hAnsi="Times New Roman" w:cs="Times New Roman"/>
            <w:sz w:val="24"/>
            <w:szCs w:val="24"/>
            <w:u w:val="none"/>
          </w:rPr>
          <w:fldChar w:fldCharType="end"/>
        </w:r>
      </w:hyperlink>
      <w:r w:rsidRPr="00F10029">
        <w:rPr>
          <w:rFonts w:ascii="Times New Roman" w:hAnsi="Times New Roman" w:cs="Times New Roman"/>
          <w:sz w:val="24"/>
          <w:szCs w:val="24"/>
        </w:rPr>
        <w:t>;</w:t>
      </w:r>
      <w:r w:rsidRPr="00F10029">
        <w:rPr>
          <w:rFonts w:ascii="Times New Roman" w:hAnsi="Times New Roman" w:cs="Times New Roman"/>
          <w:color w:val="FF0000"/>
          <w:sz w:val="24"/>
          <w:szCs w:val="24"/>
        </w:rPr>
        <w:t xml:space="preserve"> </w:t>
      </w:r>
      <w:r w:rsidRPr="00F10029">
        <w:rPr>
          <w:rFonts w:ascii="Times New Roman" w:hAnsi="Times New Roman" w:cs="Times New Roman"/>
          <w:sz w:val="24"/>
          <w:szCs w:val="24"/>
        </w:rPr>
        <w:fldChar w:fldCharType="begin" w:fldLock="1"/>
      </w:r>
      <w:r w:rsidRPr="00F10029">
        <w:rPr>
          <w:rFonts w:ascii="Times New Roman" w:hAnsi="Times New Roman" w:cs="Times New Roman"/>
          <w:sz w:val="24"/>
          <w:szCs w:val="24"/>
        </w:rPr>
        <w:instrText>ADDIN CSL_CITATION {"citationItems":[{"id":"ITEM-1","itemData":{"DOI":"10.1016/j.econmod.2019.09.028","ISSN":"02649993","abstract":"Pollution problems have recently become prominent in China, which has not only amplified public concerns on environmental protection but has also pushed the Chinese government to enforce more stringent environmental regulation. In this paper, we investigate the stock market response to the release of new environmental policies in China from the perspective of investor attention. By using the event study methodology, we assess the impact of 10 environmental policies issued by the central government over the period of 2014–2017. We find consistent evidence that the announcement of new environmental policies hurts the stock returns of heavily polluting firms in the short term. Meanwhile, compared to environmental regulations, environmental laws result in more adverse market reactions due to stricter policy enforcement. More importantly, investor attention to the environment issues, as measured by the Baidu Index, plays an essential role in predicting the stock market response, as we find a higher Baidu Index leads to lower stock returns for heavily polluting firms. Heterogeneity analyses further reveal the negative impact of environmental policies on market value is contingent on firm characteristics such as size, ownership structure, profitability and industry.","author":[{"dropping-particle":"","family":"Guo","given":"Mengmeng","non-dropping-particle":"","parse-names":false,"suffix":""},{"dropping-particle":"","family":"Kuai","given":"Yicheng","non-dropping-particle":"","parse-names":false,"suffix":""},{"dropping-particle":"","family":"Liu","given":"Xiaoyan","non-dropping-particle":"","parse-names":false,"suffix":""}],"container-title":"Economic Modelling","id":"ITEM-1","issued":{"date-parts":[["2020"]]},"page":"306-316","publisher":"Elsevier Ltd","title":"Stock market response to environmental policies: Evidence from heavily polluting firms in China","type":"article-journal","volume":"86"},"uris":["http://www.mendeley.com/documents/?uuid=88610518-deb8-473a-ae54-d46f0fbde173","http://www.mendeley.com/documents/?uuid=c0724793-a57c-4d19-be7f-8005ae8daf39","http://www.mendeley.com/documents/?uuid=4ecf74b3-103a-40b5-a39d-79faf3383936"]}],"mendeley":{"formattedCitation":"(Guo et al., 2020)","manualFormatting":"Guo et al., 2020)","plainTextFormattedCitation":"(Guo et al., 2020)","previouslyFormattedCitation":"(Guo et al., 2020)"},"properties":{"noteIndex":0},"schema":"https://github.com/citation-style-language/schema/raw/master/csl-citation.json"}</w:instrText>
      </w:r>
      <w:r w:rsidRPr="00F10029">
        <w:rPr>
          <w:rFonts w:ascii="Times New Roman" w:hAnsi="Times New Roman" w:cs="Times New Roman"/>
          <w:sz w:val="24"/>
          <w:szCs w:val="24"/>
        </w:rPr>
        <w:fldChar w:fldCharType="separate"/>
      </w:r>
      <w:hyperlink w:anchor="Guo2020" w:history="1">
        <w:r w:rsidRPr="00F10029">
          <w:rPr>
            <w:rStyle w:val="Hyperlink"/>
            <w:rFonts w:ascii="Times New Roman" w:hAnsi="Times New Roman" w:cs="Times New Roman"/>
            <w:noProof/>
            <w:sz w:val="24"/>
            <w:szCs w:val="24"/>
            <w:u w:val="none"/>
          </w:rPr>
          <w:t>Guo et al., 2020</w:t>
        </w:r>
      </w:hyperlink>
      <w:r w:rsidRPr="00F10029">
        <w:rPr>
          <w:rFonts w:ascii="Times New Roman" w:hAnsi="Times New Roman" w:cs="Times New Roman"/>
          <w:noProof/>
          <w:sz w:val="24"/>
          <w:szCs w:val="24"/>
        </w:rPr>
        <w:t>)</w:t>
      </w:r>
      <w:r w:rsidRPr="00F10029">
        <w:rPr>
          <w:rFonts w:ascii="Times New Roman" w:hAnsi="Times New Roman" w:cs="Times New Roman"/>
          <w:sz w:val="24"/>
          <w:szCs w:val="24"/>
        </w:rPr>
        <w:fldChar w:fldCharType="end"/>
      </w:r>
      <w:r w:rsidRPr="00F10029">
        <w:rPr>
          <w:rFonts w:ascii="Times New Roman" w:hAnsi="Times New Roman" w:cs="Times New Roman"/>
          <w:sz w:val="24"/>
          <w:szCs w:val="24"/>
        </w:rPr>
        <w:t xml:space="preserve"> and political events </w:t>
      </w:r>
      <w:r w:rsidRPr="00F10029">
        <w:rPr>
          <w:rFonts w:ascii="Times New Roman" w:hAnsi="Times New Roman" w:cs="Times New Roman"/>
          <w:color w:val="000000" w:themeColor="text1"/>
          <w:sz w:val="24"/>
          <w:szCs w:val="24"/>
        </w:rPr>
        <w:t>(</w:t>
      </w:r>
      <w:hyperlink w:anchor="Bash2019" w:history="1">
        <w:r w:rsidRPr="00F10029">
          <w:rPr>
            <w:rStyle w:val="Hyperlink"/>
            <w:rFonts w:ascii="Times New Roman" w:hAnsi="Times New Roman" w:cs="Times New Roman"/>
            <w:sz w:val="24"/>
            <w:szCs w:val="24"/>
            <w:u w:val="none"/>
          </w:rPr>
          <w:fldChar w:fldCharType="begin" w:fldLock="1"/>
        </w:r>
        <w:r w:rsidRPr="00F10029">
          <w:rPr>
            <w:rStyle w:val="Hyperlink"/>
            <w:rFonts w:ascii="Times New Roman" w:hAnsi="Times New Roman" w:cs="Times New Roman"/>
            <w:sz w:val="24"/>
            <w:szCs w:val="24"/>
            <w:u w:val="none"/>
          </w:rPr>
          <w:instrText>ADDIN CSL_CITATION {"citationItems":[{"id":"ITEM-1","itemData":{"DOI":"10.1016/j.jbef.2019.05.004","ISSN":"22146350","abstract":"This study investigates whether uncertain events affect stock market outcomes. To perform a natural experiment, we measure the effect of the uncertain event of Jamal Khashoggi's disappearance on the Saudi Stock Exchange. We use traditional event-study methodologies to analyse the data. The findings indicate that this event supports a downward trend in cumulative abnormal returns across all companies, implying a negative effect of uncertainty on stock returns.","author":[{"dropping-particle":"","family":"Bash","given":"Ahmad","non-dropping-particle":"","parse-names":false,"suffix":""},{"dropping-particle":"","family":"Alsaifi","given":"Khaled","non-dropping-particle":"","parse-names":false,"suffix":""}],"container-title":"Journal of Behavioral and Experimental Finance","id":"ITEM-1","issued":{"date-parts":[["2019"]]},"page":"54-58","publisher":"Elsevier B.V.","title":"Fear from uncertainty: An event study of Khashoggi and stock market returns","type":"article-journal","volume":"23"},"uris":["http://www.mendeley.com/documents/?uuid=52555cb6-9ca8-46f9-8507-2f714127524b","http://www.mendeley.com/documents/?uuid=2be09af9-f705-429f-8ada-d8f766f3ba09","http://www.mendeley.com/documents/?uuid=48f3c402-c450-48e3-8178-08983c4f5266"]}],"mendeley":{"formattedCitation":"(Bash &amp; Alsaifi, 2019)","manualFormatting":"Bash &amp; Alsaifi, 2019","plainTextFormattedCitation":"(Bash &amp; Alsaifi, 2019)","previouslyFormattedCitation":"(Bash &amp; Alsaifi, 2019)"},"properties":{"noteIndex":0},"schema":"https://github.com/citation-style-language/schema/raw/master/csl-citation.json"}</w:instrText>
        </w:r>
        <w:r w:rsidRPr="00F10029">
          <w:rPr>
            <w:rStyle w:val="Hyperlink"/>
            <w:rFonts w:ascii="Times New Roman" w:hAnsi="Times New Roman" w:cs="Times New Roman"/>
            <w:sz w:val="24"/>
            <w:szCs w:val="24"/>
            <w:u w:val="none"/>
          </w:rPr>
          <w:fldChar w:fldCharType="separate"/>
        </w:r>
        <w:r w:rsidRPr="00F10029">
          <w:rPr>
            <w:rStyle w:val="Hyperlink"/>
            <w:rFonts w:ascii="Times New Roman" w:hAnsi="Times New Roman" w:cs="Times New Roman"/>
            <w:noProof/>
            <w:sz w:val="24"/>
            <w:szCs w:val="24"/>
            <w:u w:val="none"/>
          </w:rPr>
          <w:t>Bash &amp; Alsaifi, 2019</w:t>
        </w:r>
        <w:r w:rsidRPr="00F10029">
          <w:rPr>
            <w:rStyle w:val="Hyperlink"/>
            <w:rFonts w:ascii="Times New Roman" w:hAnsi="Times New Roman" w:cs="Times New Roman"/>
            <w:sz w:val="24"/>
            <w:szCs w:val="24"/>
            <w:u w:val="none"/>
          </w:rPr>
          <w:fldChar w:fldCharType="end"/>
        </w:r>
      </w:hyperlink>
      <w:r w:rsidRPr="00F10029">
        <w:rPr>
          <w:rFonts w:ascii="Times New Roman" w:hAnsi="Times New Roman" w:cs="Times New Roman"/>
          <w:sz w:val="24"/>
          <w:szCs w:val="24"/>
        </w:rPr>
        <w:t>;</w:t>
      </w:r>
      <w:r w:rsidRPr="00F10029">
        <w:rPr>
          <w:rFonts w:ascii="Times New Roman" w:hAnsi="Times New Roman" w:cs="Times New Roman"/>
          <w:color w:val="FF0000"/>
          <w:sz w:val="24"/>
          <w:szCs w:val="24"/>
        </w:rPr>
        <w:t xml:space="preserve"> </w:t>
      </w:r>
      <w:r w:rsidRPr="00F10029">
        <w:rPr>
          <w:rFonts w:ascii="Times New Roman" w:hAnsi="Times New Roman" w:cs="Times New Roman"/>
          <w:sz w:val="24"/>
          <w:szCs w:val="24"/>
        </w:rPr>
        <w:fldChar w:fldCharType="begin" w:fldLock="1"/>
      </w:r>
      <w:r w:rsidRPr="00F10029">
        <w:rPr>
          <w:rFonts w:ascii="Times New Roman" w:hAnsi="Times New Roman" w:cs="Times New Roman"/>
          <w:sz w:val="24"/>
          <w:szCs w:val="24"/>
        </w:rPr>
        <w:instrText>ADDIN CSL_CITATION {"citationItems":[{"id":"ITEM-1","itemData":{"DOI":"10.1016/j.jbef.2018.11.002","ISSN":"22146350","abstract":"This study investigates the presence of political risk premia among 298 listed companies from 59 Russian regions over a five-year period (10/2012–09/2017). Using a regional political stability score not available in the literature, this paper applies panel data approach to evidence the pricing of regional political risk in forms of long-term political instability premium (up to 2.20% monthly) and short-term impact-shock premium. The findings indicate that regional political risk is more impactful than countrywide or international risk and that regional political processes are crucial for the understanding of the synchronisation of stock returns with broader markets.","author":[{"dropping-particle":"","family":"Shanaev","given":"Savva","non-dropping-particle":"","parse-names":false,"suffix":""},{"dropping-particle":"","family":"Ghimire","given":"Binam","non-dropping-particle":"","parse-names":false,"suffix":""}],"container-title":"Journal of Behavioral and Experimental Finance","id":"ITEM-1","issued":{"date-parts":[["2019"]]},"page":"70-82","publisher":"Elsevier B.V.","title":"Is all politics local? Regional political risk in Russia and the panel of stock returns","type":"article-journal","volume":"21"},"uris":["http://www.mendeley.com/documents/?uuid=8b0a956d-d990-4104-a977-16c70097e751","http://www.mendeley.com/documents/?uuid=06f37247-8f83-4105-b68a-a846574d624a","http://www.mendeley.com/documents/?uuid=770bc48d-f7a9-4333-b3a3-c0a1a89d9903"]}],"mendeley":{"formattedCitation":"(Shanaev &amp; Ghimire, 2019)","manualFormatting":"Shanaev &amp; Ghimire, 2019)","plainTextFormattedCitation":"(Shanaev &amp; Ghimire, 2019)","previouslyFormattedCitation":"(Shanaev &amp; Ghimire, 2019)"},"properties":{"noteIndex":0},"schema":"https://github.com/citation-style-language/schema/raw/master/csl-citation.json"}</w:instrText>
      </w:r>
      <w:r w:rsidRPr="00F10029">
        <w:rPr>
          <w:rFonts w:ascii="Times New Roman" w:hAnsi="Times New Roman" w:cs="Times New Roman"/>
          <w:sz w:val="24"/>
          <w:szCs w:val="24"/>
        </w:rPr>
        <w:fldChar w:fldCharType="separate"/>
      </w:r>
      <w:hyperlink w:anchor="Shanaev2019" w:history="1">
        <w:r w:rsidRPr="00F10029">
          <w:rPr>
            <w:rStyle w:val="Hyperlink"/>
            <w:rFonts w:ascii="Times New Roman" w:hAnsi="Times New Roman" w:cs="Times New Roman"/>
            <w:noProof/>
            <w:sz w:val="24"/>
            <w:szCs w:val="24"/>
            <w:u w:val="none"/>
          </w:rPr>
          <w:t>Shanaev &amp; Ghimire, 2019</w:t>
        </w:r>
      </w:hyperlink>
      <w:r w:rsidRPr="00F10029">
        <w:rPr>
          <w:rFonts w:ascii="Times New Roman" w:hAnsi="Times New Roman" w:cs="Times New Roman"/>
          <w:noProof/>
          <w:sz w:val="24"/>
          <w:szCs w:val="24"/>
        </w:rPr>
        <w:t>)</w:t>
      </w:r>
      <w:r w:rsidRPr="00F10029">
        <w:rPr>
          <w:rFonts w:ascii="Times New Roman" w:hAnsi="Times New Roman" w:cs="Times New Roman"/>
          <w:sz w:val="24"/>
          <w:szCs w:val="24"/>
        </w:rPr>
        <w:fldChar w:fldCharType="end"/>
      </w:r>
      <w:r w:rsidRPr="00F10029">
        <w:rPr>
          <w:rFonts w:ascii="Times New Roman" w:hAnsi="Times New Roman" w:cs="Times New Roman"/>
          <w:sz w:val="24"/>
          <w:szCs w:val="24"/>
        </w:rPr>
        <w:t xml:space="preserve">. Stock market returns can also react to pandemic illnesses, for example, Severe Acute Respiratory Syndrome (SARS) outbreaks </w:t>
      </w:r>
      <w:r w:rsidRPr="00F10029">
        <w:rPr>
          <w:rFonts w:ascii="Times New Roman" w:hAnsi="Times New Roman" w:cs="Times New Roman"/>
          <w:sz w:val="24"/>
          <w:szCs w:val="24"/>
        </w:rPr>
        <w:fldChar w:fldCharType="begin" w:fldLock="1"/>
      </w:r>
      <w:r w:rsidRPr="00F10029">
        <w:rPr>
          <w:rFonts w:ascii="Times New Roman" w:hAnsi="Times New Roman" w:cs="Times New Roman"/>
          <w:sz w:val="24"/>
          <w:szCs w:val="24"/>
        </w:rPr>
        <w:instrText>ADDIN CSL_CITATION {"citationItems":[{"id":"ITEM-1","itemData":{"DOI":"10.1016/j.ijhm.2005.11.004","ISSN":"02784319","abstract":"The severe acute respiratory syndrome (SARS) outbreak in 2003 weakened the Taiwanese economy. The tourism industry suffered the most, experiencing the highest stock price decline (approximately 29 percent) within a month of the SARS outbreak. This research examined the effect of the SARS epidemic on Taiwanese hotel stock price movements using an event-study approach. Seven publicly traded hotel companies experienced steep declines in earnings and stock price during the SARS outbreak period. On and after the day of the SARS outbreak, Taiwanese hotel stocks showed significantly negative cumulative mean abnormal returns, indicating a significant impact of the SARS outbreak on hotel stock performance. Empirical findings could be used to prepare businesses for the similar epidemics, such as a deadly bird-flu epidemic. © 2006 Elsevier Ltd. All rights reserved.","author":[{"dropping-particle":"","family":"Chen","given":"Ming-Hsiang","non-dropping-particle":"","parse-names":false,"suffix":""},{"dropping-particle":"","family":"Jang","given":"Soo Cheong (Shawn)","non-dropping-particle":"","parse-names":false,"suffix":""},{"dropping-particle":"","family":"Kim","given":"Woo Gon","non-dropping-particle":"","parse-names":false,"suffix":""}],"container-title":"International Journal of Hospitality Management","id":"ITEM-1","issue":"1","issued":{"date-parts":[["2007"]]},"page":"200-212","title":"The impact of the SARS outbreak on Taiwanese hotel stock performance: An event-study approach","type":"article-journal","volume":"26"},"uris":["http://www.mendeley.com/documents/?uuid=c05ea103-f1a0-4b91-99df-6479d5e853be","http://www.mendeley.com/documents/?uuid=0f671054-07ee-4776-bc84-a40d4fd8c701","http://www.mendeley.com/documents/?uuid=6ded64c5-364c-4b80-b1ed-0d07a9ed6e4e"]},{"id":"ITEM-2","itemData":{"DOI":"10.1353/jda.0.0041","abstract":"In this paper we employ an event study approach with GARCH process to uncover whether there were positive impacts on the Taiwan's stock market during the SARS outbreak period in 2003. The empirical results indicate that the SARS crisis did bring negative impacts on tourism and the wholesale and retail sectors. This result has been confirmed by many previous studies, but it is most important that the biotechnology sector saw positive shocks from the impacts of the SARS crisis. It is clear that the value effect of SARS outbreak seems to be asymmetrical within our sample firms. Therefore, fund managers and investors at that time were able to buy and hold biotechnology stocks and rearrange their portfolios to obtain investment profits, maintain portfolio returns, or lower investment risks during the SARS outbreak period in Taiwan. The government of Taiwan should support the developments of each industry sufficiently, and then these industries could help to protect the nation's economy and residents' health against any possible impact of disease, such as SARS.","author":[{"dropping-particle":"","family":"Chen","given":"Chun-Da","non-dropping-particle":"","parse-names":false,"suffix":""},{"dropping-particle":"","family":"Chen","given":"Chin-Chun","non-dropping-particle":"","parse-names":false,"suffix":""},{"dropping-particle":"","family":"Tang","given":"Wan-Wei","non-dropping-particle":"","parse-names":false,"suffix":""},{"dropping-particle":"","family":"Huang","given":"Bor-Yi","non-dropping-particle":"","parse-names":false,"suffix":""}],"container-title":"The Journal of Developing Areas","id":"ITEM-2","issue":"1","issued":{"date-parts":[["2009"]]},"page":"281-293","title":"The Positive and Negative Impacts of the Sars Outbreak: A Case of the Taiwan Industries","type":"article-journal","volume":"43"},"uris":["http://www.mendeley.com/documents/?uuid=afd01876-85a7-4109-ad08-7fdfe94a7ef2","http://www.mendeley.com/documents/?uuid=6dcd3509-c541-43c3-acbc-d8f0d6e64e27","http://www.mendeley.com/documents/?uuid=65885b73-4606-4377-b384-5cc9ce60eca9"]}],"mendeley":{"formattedCitation":"(C.-D. Chen et al., 2009; M.-H. Chen et al., 2007)","plainTextFormattedCitation":"(C.-D. Chen et al., 2009; M.-H. Chen et al., 2007)","previouslyFormattedCitation":"(C.-D. Chen et al., 2009; M.-H. Chen et al., 2007)"},"properties":{"noteIndex":0},"schema":"https://github.com/citation-style-language/schema/raw/master/csl-citation.json"}</w:instrText>
      </w:r>
      <w:r w:rsidRPr="00F10029">
        <w:rPr>
          <w:rFonts w:ascii="Times New Roman" w:hAnsi="Times New Roman" w:cs="Times New Roman"/>
          <w:sz w:val="24"/>
          <w:szCs w:val="24"/>
        </w:rPr>
        <w:fldChar w:fldCharType="separate"/>
      </w:r>
      <w:r w:rsidRPr="00F10029">
        <w:rPr>
          <w:rFonts w:ascii="Times New Roman" w:hAnsi="Times New Roman" w:cs="Times New Roman"/>
          <w:noProof/>
          <w:sz w:val="24"/>
          <w:szCs w:val="24"/>
        </w:rPr>
        <w:t>(</w:t>
      </w:r>
      <w:hyperlink w:anchor="Chen2009" w:history="1">
        <w:r w:rsidRPr="00F10029">
          <w:rPr>
            <w:rStyle w:val="Hyperlink"/>
            <w:rFonts w:ascii="Times New Roman" w:hAnsi="Times New Roman" w:cs="Times New Roman"/>
            <w:noProof/>
            <w:sz w:val="24"/>
            <w:szCs w:val="24"/>
            <w:u w:val="none"/>
          </w:rPr>
          <w:t>C.-</w:t>
        </w:r>
        <w:r w:rsidRPr="00F10029">
          <w:rPr>
            <w:rStyle w:val="Hyperlink"/>
            <w:rFonts w:ascii="Times New Roman" w:hAnsi="Times New Roman" w:cs="Times New Roman"/>
            <w:noProof/>
            <w:sz w:val="24"/>
            <w:szCs w:val="24"/>
            <w:u w:val="none"/>
          </w:rPr>
          <w:lastRenderedPageBreak/>
          <w:t>D. Chen et al., 2009</w:t>
        </w:r>
      </w:hyperlink>
      <w:r w:rsidRPr="00F10029">
        <w:rPr>
          <w:rFonts w:ascii="Times New Roman" w:hAnsi="Times New Roman" w:cs="Times New Roman"/>
          <w:noProof/>
          <w:sz w:val="24"/>
          <w:szCs w:val="24"/>
        </w:rPr>
        <w:t xml:space="preserve">; </w:t>
      </w:r>
      <w:hyperlink w:anchor="Chen2007" w:history="1">
        <w:r w:rsidRPr="00F10029">
          <w:rPr>
            <w:rStyle w:val="Hyperlink"/>
            <w:rFonts w:ascii="Times New Roman" w:hAnsi="Times New Roman" w:cs="Times New Roman"/>
            <w:noProof/>
            <w:sz w:val="24"/>
            <w:szCs w:val="24"/>
            <w:u w:val="none"/>
          </w:rPr>
          <w:t>M.-H. Chen et al., 2007</w:t>
        </w:r>
      </w:hyperlink>
      <w:r w:rsidRPr="00F10029">
        <w:rPr>
          <w:rFonts w:ascii="Times New Roman" w:hAnsi="Times New Roman" w:cs="Times New Roman"/>
          <w:noProof/>
          <w:sz w:val="24"/>
          <w:szCs w:val="24"/>
        </w:rPr>
        <w:t>)</w:t>
      </w:r>
      <w:r w:rsidRPr="00F10029">
        <w:rPr>
          <w:rFonts w:ascii="Times New Roman" w:hAnsi="Times New Roman" w:cs="Times New Roman"/>
          <w:sz w:val="24"/>
          <w:szCs w:val="24"/>
        </w:rPr>
        <w:fldChar w:fldCharType="end"/>
      </w:r>
      <w:r w:rsidRPr="00F10029">
        <w:rPr>
          <w:rFonts w:ascii="Times New Roman" w:hAnsi="Times New Roman" w:cs="Times New Roman"/>
          <w:sz w:val="24"/>
          <w:szCs w:val="24"/>
        </w:rPr>
        <w:t xml:space="preserve"> and episodes of Viral Disease Ebola (EVD) </w:t>
      </w:r>
      <w:r w:rsidRPr="00F10029">
        <w:rPr>
          <w:rFonts w:ascii="Times New Roman" w:hAnsi="Times New Roman" w:cs="Times New Roman"/>
          <w:sz w:val="24"/>
          <w:szCs w:val="24"/>
        </w:rPr>
        <w:fldChar w:fldCharType="begin" w:fldLock="1"/>
      </w:r>
      <w:r w:rsidRPr="00F10029">
        <w:rPr>
          <w:rFonts w:ascii="Times New Roman" w:hAnsi="Times New Roman" w:cs="Times New Roman"/>
          <w:sz w:val="24"/>
          <w:szCs w:val="24"/>
        </w:rPr>
        <w:instrText>ADDIN CSL_CITATION {"citationItems":[{"id":"ITEM-1","itemData":{"DOI":"10.1016/j.irfa.2017.12.004","ISSN":"10575219","abstract":"Behavioral finance studies reveal that investor sentiment affects investment decisions and may therefore affect stock pricing. This paper examines whether the geographic proximity of information disseminated by the 2014–2016 Ebola outbreak events combined with intense media coverage affected stock prices in the U.S. We find that the Ebola outbreak event effect is the strongest for the stocks of companies with exposure of their operations to the West African countries (WAC) and the U.S. and for the events located in the WAC and the U.S. This result suggests that the information about Ebola outbreak events is more relevant for companies that are geographically closer to both the birthplace of the Ebola outbreak events and the financial markets. The results also show that the effect is more pronounced for small and more volatile stocks, stocks of specific industry, and for the stocks exposed to the intense media coverage. The event effect is also followed by the elevated perceived risk; that is, the implied volatility increases after the Ebola outbreak events.","author":[{"dropping-particle":"","family":"Ichev","given":"Riste","non-dropping-particle":"","parse-names":false,"suffix":""},{"dropping-particle":"","family":"Marinč","given":"Matej","non-dropping-particle":"","parse-names":false,"suffix":""}],"container-title":"International Review of Financial Analysis","id":"ITEM-1","issued":{"date-parts":[["2018"]]},"page":"153-166","publisher":"Elsevier Inc","title":"Stock prices and geographic proximity of information: Evidence from the Ebola outbreak","type":"article-journal","volume":"56"},"uris":["http://www.mendeley.com/documents/?uuid=913b931d-3660-4bde-a0da-3f8c234fd1d1","http://www.mendeley.com/documents/?uuid=0ccc2882-6a5a-44d4-91d5-403362722998"]}],"mendeley":{"formattedCitation":"(Ichev &amp; Marinč, 2018)","plainTextFormattedCitation":"(Ichev &amp; Marinč, 2018)","previouslyFormattedCitation":"(Ichev &amp; Marinč, 2018)"},"properties":{"noteIndex":0},"schema":"https://github.com/citation-style-language/schema/raw/master/csl-citation.json"}</w:instrText>
      </w:r>
      <w:r w:rsidRPr="00F10029">
        <w:rPr>
          <w:rFonts w:ascii="Times New Roman" w:hAnsi="Times New Roman" w:cs="Times New Roman"/>
          <w:sz w:val="24"/>
          <w:szCs w:val="24"/>
        </w:rPr>
        <w:fldChar w:fldCharType="separate"/>
      </w:r>
      <w:r w:rsidRPr="00F10029">
        <w:rPr>
          <w:rFonts w:ascii="Times New Roman" w:hAnsi="Times New Roman" w:cs="Times New Roman"/>
          <w:noProof/>
          <w:sz w:val="24"/>
          <w:szCs w:val="24"/>
        </w:rPr>
        <w:t>(</w:t>
      </w:r>
      <w:hyperlink w:anchor="Ichev2018" w:history="1">
        <w:r w:rsidRPr="00F10029">
          <w:rPr>
            <w:rStyle w:val="Hyperlink"/>
            <w:rFonts w:ascii="Times New Roman" w:hAnsi="Times New Roman" w:cs="Times New Roman"/>
            <w:noProof/>
            <w:sz w:val="24"/>
            <w:szCs w:val="24"/>
            <w:u w:val="none"/>
          </w:rPr>
          <w:t>Ichev &amp; Marinč, 2018</w:t>
        </w:r>
      </w:hyperlink>
      <w:r w:rsidRPr="00F10029">
        <w:rPr>
          <w:rFonts w:ascii="Times New Roman" w:hAnsi="Times New Roman" w:cs="Times New Roman"/>
          <w:noProof/>
          <w:sz w:val="24"/>
          <w:szCs w:val="24"/>
        </w:rPr>
        <w:t>)</w:t>
      </w:r>
      <w:r w:rsidRPr="00F10029">
        <w:rPr>
          <w:rFonts w:ascii="Times New Roman" w:hAnsi="Times New Roman" w:cs="Times New Roman"/>
          <w:sz w:val="24"/>
          <w:szCs w:val="24"/>
        </w:rPr>
        <w:fldChar w:fldCharType="end"/>
      </w:r>
      <w:r w:rsidRPr="00F10029">
        <w:rPr>
          <w:rFonts w:ascii="Times New Roman" w:hAnsi="Times New Roman" w:cs="Times New Roman"/>
          <w:sz w:val="24"/>
          <w:szCs w:val="24"/>
        </w:rPr>
        <w:t>.</w:t>
      </w:r>
      <w:r w:rsidRPr="00F10029">
        <w:rPr>
          <w:rFonts w:ascii="Times New Roman" w:hAnsi="Times New Roman" w:cs="Times New Roman"/>
          <w:sz w:val="24"/>
          <w:szCs w:val="24"/>
          <w:lang w:val="id-ID"/>
        </w:rPr>
        <w:t xml:space="preserve"> </w:t>
      </w:r>
      <w:hyperlink w:anchor="Wang2013" w:history="1">
        <w:r w:rsidRPr="00F10029">
          <w:rPr>
            <w:rStyle w:val="Hyperlink"/>
            <w:rFonts w:ascii="Times New Roman" w:hAnsi="Times New Roman" w:cs="Times New Roman"/>
            <w:sz w:val="24"/>
            <w:szCs w:val="24"/>
            <w:u w:val="none"/>
            <w:lang w:val="id-ID"/>
          </w:rPr>
          <w:fldChar w:fldCharType="begin" w:fldLock="1"/>
        </w:r>
        <w:r w:rsidRPr="00F10029">
          <w:rPr>
            <w:rStyle w:val="Hyperlink"/>
            <w:rFonts w:ascii="Times New Roman" w:hAnsi="Times New Roman" w:cs="Times New Roman"/>
            <w:sz w:val="24"/>
            <w:szCs w:val="24"/>
            <w:u w:val="none"/>
            <w:lang w:val="id-ID"/>
          </w:rPr>
          <w:instrText>ADDIN CSL_CITATION {"citationItems":[{"id":"ITEM-1","itemData":{"DOI":"10.3846/16111699.2012.711360","ISSN":"1611-1699","author":[{"dropping-particle":"","family":"Wang","given":"Yi-Hsien","non-dropping-particle":"","parse-names":false,"suffix":""},{"dropping-particle":"","family":"Yang","given":"Fu-Ju","non-dropping-particle":"","parse-names":false,"suffix":""},{"dropping-particle":"","family":"Chen","given":"Li-Je","non-dropping-particle":"","parse-names":false,"suffix":""}],"container-title":"Journal of Business Economics and Management","id":"ITEM-1","issue":"sup1","issued":{"date-parts":[["2013","12","19"]]},"note":"doi: 10.3846/16111699.2012.711360","page":"S112-S127","publisher":"Taylor &amp; Francis","title":"An investor's perspective on infectious diseases and their influence on market behavior","type":"article-journal","volume":"14"},"uris":["http://www.mendeley.com/documents/?uuid=c1dd8ee0-50db-4655-b554-aaa8f72ff8fd"]}],"mendeley":{"formattedCitation":"(Wang et al., 2013)","manualFormatting":"Wang et al., (2013)","plainTextFormattedCitation":"(Wang et al., 2013)","previouslyFormattedCitation":"(Wang et al., 2013)"},"properties":{"noteIndex":0},"schema":"https://github.com/citation-style-language/schema/raw/master/csl-citation.json"}</w:instrText>
        </w:r>
        <w:r w:rsidRPr="00F10029">
          <w:rPr>
            <w:rStyle w:val="Hyperlink"/>
            <w:rFonts w:ascii="Times New Roman" w:hAnsi="Times New Roman" w:cs="Times New Roman"/>
            <w:sz w:val="24"/>
            <w:szCs w:val="24"/>
            <w:u w:val="none"/>
            <w:lang w:val="id-ID"/>
          </w:rPr>
          <w:fldChar w:fldCharType="separate"/>
        </w:r>
        <w:r w:rsidRPr="00F10029">
          <w:rPr>
            <w:rStyle w:val="Hyperlink"/>
            <w:rFonts w:ascii="Times New Roman" w:hAnsi="Times New Roman" w:cs="Times New Roman"/>
            <w:noProof/>
            <w:sz w:val="24"/>
            <w:szCs w:val="24"/>
            <w:u w:val="none"/>
            <w:lang w:val="id-ID"/>
          </w:rPr>
          <w:t>Wang et al., (2013)</w:t>
        </w:r>
        <w:r w:rsidRPr="00F10029">
          <w:rPr>
            <w:rStyle w:val="Hyperlink"/>
            <w:rFonts w:ascii="Times New Roman" w:hAnsi="Times New Roman" w:cs="Times New Roman"/>
            <w:sz w:val="24"/>
            <w:szCs w:val="24"/>
            <w:u w:val="none"/>
            <w:lang w:val="id-ID"/>
          </w:rPr>
          <w:fldChar w:fldCharType="end"/>
        </w:r>
      </w:hyperlink>
      <w:r w:rsidRPr="00F10029">
        <w:rPr>
          <w:rFonts w:ascii="Times New Roman" w:hAnsi="Times New Roman" w:cs="Times New Roman"/>
          <w:sz w:val="24"/>
          <w:szCs w:val="24"/>
        </w:rPr>
        <w:t xml:space="preserve"> showed that </w:t>
      </w:r>
      <w:r w:rsidRPr="00F10029">
        <w:rPr>
          <w:rFonts w:ascii="Times New Roman" w:hAnsi="Times New Roman" w:cs="Times New Roman"/>
          <w:color w:val="000000" w:themeColor="text1"/>
          <w:sz w:val="24"/>
          <w:szCs w:val="24"/>
        </w:rPr>
        <w:t xml:space="preserve">there was a significant abnormal return on the stocks of biotechnology industry companies in Taiwan during the outbreak of </w:t>
      </w:r>
      <w:r w:rsidRPr="00F10029">
        <w:rPr>
          <w:rFonts w:ascii="Times New Roman" w:hAnsi="Times New Roman" w:cs="Times New Roman"/>
          <w:sz w:val="24"/>
          <w:szCs w:val="24"/>
        </w:rPr>
        <w:t xml:space="preserve">ENTEROVIRUS 71, DENGUE FEVER, SARS, and H1N1. </w:t>
      </w:r>
      <w:hyperlink w:anchor="Anh2020" w:history="1">
        <w:r w:rsidRPr="00F10029">
          <w:rPr>
            <w:rStyle w:val="Hyperlink"/>
            <w:rFonts w:ascii="Times New Roman" w:hAnsi="Times New Roman" w:cs="Times New Roman"/>
            <w:sz w:val="24"/>
            <w:szCs w:val="24"/>
            <w:u w:val="none"/>
          </w:rPr>
          <w:fldChar w:fldCharType="begin" w:fldLock="1"/>
        </w:r>
        <w:r w:rsidRPr="00F10029">
          <w:rPr>
            <w:rStyle w:val="Hyperlink"/>
            <w:rFonts w:ascii="Times New Roman" w:hAnsi="Times New Roman" w:cs="Times New Roman"/>
            <w:sz w:val="24"/>
            <w:szCs w:val="24"/>
            <w:u w:val="none"/>
          </w:rPr>
          <w:instrText>ADDIN CSL_CITATION {"citationItems":[{"id":"ITEM-1","itemData":{"DOI":"10.1108/JES-06-2020-0312","ISSN":"01443585","abstract":"Purpose: This study explores the effects of the COVID-19 outbreak and its following lockdown on daily stock returns in Vietnam, a fast-growing emerging market that successfully revived after the pandemic lockdown. Design/methodology/approach: This study uses panel-data regression models to evaluate the influence of the daily increase in the number of COVID-19 confirmed cases during pre-lockdown and lockdown on daily stock returns of 723 listed firms in Vietnam from 30 January to 30 May 2020. Findings: The study confirms the adverse impact of the daily increasing number of COVID-19 cases on stock returns in Vietnam. The study also discloses that the Vietnam stock market before and during the nationwide lockdown performed in opposing ways. Though COVID-19 pre-lockdown had a significant, negative impact on Vietnam's stock returns, the lockdown period had a significant, positive influence on stock performance of the entire market and the different business sectors in Vietnam. The financial sector was hardest hit on the Vietnam stock market during the COVID-19 outbreak. Research limitations/implications: The study indicates investors' confidence and trust in the Vietnam government's decisions to combat COVID-19 and favorable stocks prices were the main reasons that the Vietnam stock market rebounded during and after lockdown. Originality/value: This is the first study to examine the impact of COVID-19 during the pre-lockdown and lockdown periods on stock performance in Vietnam, a rapidly developing economy that was successful in controlling the pandemic with a rejuvenated stock market after lockdown.","author":[{"dropping-particle":"","family":"Anh","given":"Dao Le Trang","non-dropping-particle":"","parse-names":false,"suffix":""},{"dropping-particle":"","family":"Gan","given":"Christopher","non-dropping-particle":"","parse-names":false,"suffix":""}],"container-title":"Journal of Economic Studies","id":"ITEM-1","issued":{"date-parts":[["2020"]]},"title":"The impact of the COVID-19 lockdown on stock market performance: evidence from Vietnam","type":"article-journal"},"uris":["http://www.mendeley.com/documents/?uuid=1650dd1c-f75a-47ad-a11e-3b497ab38827","http://www.mendeley.com/documents/?uuid=e7c9cc3e-31d8-47c5-bcc8-e9c9491fc27f"]}],"mendeley":{"formattedCitation":"(Anh &amp; Gan, 2020)","manualFormatting":"Anh &amp; Gan (2020)","plainTextFormattedCitation":"(Anh &amp; Gan, 2020)","previouslyFormattedCitation":"(Anh &amp; Gan, 2020)"},"properties":{"noteIndex":0},"schema":"https://github.com/citation-style-language/schema/raw/master/csl-citation.json"}</w:instrText>
        </w:r>
        <w:r w:rsidRPr="00F10029">
          <w:rPr>
            <w:rStyle w:val="Hyperlink"/>
            <w:rFonts w:ascii="Times New Roman" w:hAnsi="Times New Roman" w:cs="Times New Roman"/>
            <w:sz w:val="24"/>
            <w:szCs w:val="24"/>
            <w:u w:val="none"/>
          </w:rPr>
          <w:fldChar w:fldCharType="separate"/>
        </w:r>
        <w:r w:rsidRPr="00F10029">
          <w:rPr>
            <w:rStyle w:val="Hyperlink"/>
            <w:rFonts w:ascii="Times New Roman" w:hAnsi="Times New Roman" w:cs="Times New Roman"/>
            <w:noProof/>
            <w:sz w:val="24"/>
            <w:szCs w:val="24"/>
            <w:u w:val="none"/>
          </w:rPr>
          <w:t>Anh &amp; Gan (2020)</w:t>
        </w:r>
        <w:r w:rsidRPr="00F10029">
          <w:rPr>
            <w:rStyle w:val="Hyperlink"/>
            <w:rFonts w:ascii="Times New Roman" w:hAnsi="Times New Roman" w:cs="Times New Roman"/>
            <w:sz w:val="24"/>
            <w:szCs w:val="24"/>
            <w:u w:val="none"/>
          </w:rPr>
          <w:fldChar w:fldCharType="end"/>
        </w:r>
      </w:hyperlink>
      <w:r w:rsidRPr="00F10029">
        <w:rPr>
          <w:rFonts w:ascii="Times New Roman" w:hAnsi="Times New Roman" w:cs="Times New Roman"/>
          <w:sz w:val="24"/>
          <w:szCs w:val="24"/>
        </w:rPr>
        <w:t xml:space="preserve">examined the effect of the COVID-19 pandemic and lockdown on daily stock returns in Vietnam and found that the pre-lockdown COVID-19 had a negative impact, while the lockdown period had a positive effect on the stock performance of all markets and different business sectors in Vietnam. Likewise, </w:t>
      </w:r>
      <w:hyperlink w:anchor="Narayan2020" w:history="1">
        <w:r w:rsidRPr="00F10029">
          <w:rPr>
            <w:rStyle w:val="Hyperlink"/>
            <w:rFonts w:ascii="Times New Roman" w:hAnsi="Times New Roman" w:cs="Times New Roman"/>
            <w:sz w:val="24"/>
            <w:szCs w:val="24"/>
            <w:u w:val="none"/>
            <w:shd w:val="clear" w:color="auto" w:fill="FFFFFF"/>
          </w:rPr>
          <w:fldChar w:fldCharType="begin" w:fldLock="1"/>
        </w:r>
        <w:r w:rsidRPr="00F10029">
          <w:rPr>
            <w:rStyle w:val="Hyperlink"/>
            <w:rFonts w:ascii="Times New Roman" w:hAnsi="Times New Roman" w:cs="Times New Roman"/>
            <w:sz w:val="24"/>
            <w:szCs w:val="24"/>
            <w:u w:val="none"/>
            <w:shd w:val="clear" w:color="auto" w:fill="FFFFFF"/>
          </w:rPr>
          <w:instrText>ADDIN CSL_CITATION {"citationItems":[{"id":"ITEM-1","itemData":{"DOI":"10.1016/j.frl.2020.101732","ISSN":"15446123","abstract":"This paper examines the effect of government responses of G7 countries to the coronavirus pandemic (COVID-19) on stock market returns. Using time-series data, we show that lockdowns, travel bans, and economic stimulus packages all had a positive effect on the G7 stock markets. However, lockdowns were most effective in cushioning the effects of COVID-19. Our results are robust to different measures of returns and controls for other factors of returns.","author":[{"dropping-particle":"","family":"Narayan","given":"Paresh Kumar","non-dropping-particle":"","parse-names":false,"suffix":""},{"dropping-particle":"","family":"Phan","given":"Dinh Hoang Bach","non-dropping-particle":"","parse-names":false,"suffix":""},{"dropping-particle":"","family":"Liu","given":"Guangqiang","non-dropping-particle":"","parse-names":false,"suffix":""}],"container-title":"Finance Research Letters","id":"ITEM-1","issued":{"date-parts":[["2020"]]},"page":"1-7","publisher":"Elsevier","title":"COVID-19 lockdowns, stimulus packages, travel bans, and stock returns","type":"article-journal"},"uris":["http://www.mendeley.com/documents/?uuid=24683490-6a2b-4915-86ba-c834ceb2414f","http://www.mendeley.com/documents/?uuid=83abe81c-1f79-4902-ab4f-3924a8c7a113"]}],"mendeley":{"formattedCitation":"(Narayan et al., 2020)","manualFormatting":"Narayan et al. (2020)","plainTextFormattedCitation":"(Narayan et al., 2020)","previouslyFormattedCitation":"(Narayan et al., 2020)"},"properties":{"noteIndex":0},"schema":"https://github.com/citation-style-language/schema/raw/master/csl-citation.json"}</w:instrText>
        </w:r>
        <w:r w:rsidRPr="00F10029">
          <w:rPr>
            <w:rStyle w:val="Hyperlink"/>
            <w:rFonts w:ascii="Times New Roman" w:hAnsi="Times New Roman" w:cs="Times New Roman"/>
            <w:sz w:val="24"/>
            <w:szCs w:val="24"/>
            <w:u w:val="none"/>
            <w:shd w:val="clear" w:color="auto" w:fill="FFFFFF"/>
          </w:rPr>
          <w:fldChar w:fldCharType="separate"/>
        </w:r>
        <w:r w:rsidRPr="00F10029">
          <w:rPr>
            <w:rStyle w:val="Hyperlink"/>
            <w:rFonts w:ascii="Times New Roman" w:hAnsi="Times New Roman" w:cs="Times New Roman"/>
            <w:noProof/>
            <w:sz w:val="24"/>
            <w:szCs w:val="24"/>
            <w:u w:val="none"/>
            <w:shd w:val="clear" w:color="auto" w:fill="FFFFFF"/>
          </w:rPr>
          <w:t>Narayan et al. (2020)</w:t>
        </w:r>
        <w:r w:rsidRPr="00F10029">
          <w:rPr>
            <w:rStyle w:val="Hyperlink"/>
            <w:rFonts w:ascii="Times New Roman" w:hAnsi="Times New Roman" w:cs="Times New Roman"/>
            <w:sz w:val="24"/>
            <w:szCs w:val="24"/>
            <w:u w:val="none"/>
            <w:shd w:val="clear" w:color="auto" w:fill="FFFFFF"/>
          </w:rPr>
          <w:fldChar w:fldCharType="end"/>
        </w:r>
      </w:hyperlink>
      <w:r w:rsidRPr="00F10029">
        <w:rPr>
          <w:rFonts w:ascii="Times New Roman" w:hAnsi="Times New Roman" w:cs="Times New Roman"/>
          <w:sz w:val="24"/>
          <w:szCs w:val="24"/>
          <w:shd w:val="clear" w:color="auto" w:fill="FFFFFF"/>
        </w:rPr>
        <w:t xml:space="preserve"> </w:t>
      </w:r>
      <w:r w:rsidRPr="00F10029">
        <w:rPr>
          <w:rFonts w:ascii="Times New Roman" w:hAnsi="Times New Roman" w:cs="Times New Roman"/>
          <w:sz w:val="24"/>
          <w:szCs w:val="24"/>
        </w:rPr>
        <w:t xml:space="preserve">found that the lockdown policy positively impacted the stock market. However, these findings contradict </w:t>
      </w:r>
      <w:hyperlink w:anchor="Baig2020" w:history="1">
        <w:r w:rsidRPr="00F10029">
          <w:rPr>
            <w:rStyle w:val="Hyperlink"/>
            <w:rFonts w:ascii="Times New Roman" w:hAnsi="Times New Roman" w:cs="Times New Roman"/>
            <w:sz w:val="24"/>
            <w:szCs w:val="24"/>
            <w:u w:val="none"/>
            <w:shd w:val="clear" w:color="auto" w:fill="FFFFFF"/>
          </w:rPr>
          <w:fldChar w:fldCharType="begin" w:fldLock="1"/>
        </w:r>
        <w:r w:rsidRPr="00F10029">
          <w:rPr>
            <w:rStyle w:val="Hyperlink"/>
            <w:rFonts w:ascii="Times New Roman" w:hAnsi="Times New Roman" w:cs="Times New Roman"/>
            <w:sz w:val="24"/>
            <w:szCs w:val="24"/>
            <w:u w:val="none"/>
            <w:shd w:val="clear" w:color="auto" w:fill="FFFFFF"/>
          </w:rPr>
          <w:instrText>ADDIN CSL_CITATION {"citationItems":[{"id":"ITEM-1","itemData":{"DOI":"10.1016/j.frl.2020.101701","ISSN":"15446123","abstract":"This study investigates the impact of COVID-19 pandemic on the microstructure of US equity markets. In particular, we explain the liquidity and volatility dynamics via indexes that capture multiple dimensions of the pandemic. Our results suggest that increases in confirmed cases and deaths due to coronavirus are associated with a significant increase in market illiquidity and volatility. Similarly, declining sentiment and the implementations of restrictions and lockdowns contribute to the deterioration of liquidity and stability of markets.","author":[{"dropping-particle":"","family":"Baig","given":"Ahmed S.","non-dropping-particle":"","parse-names":false,"suffix":""},{"dropping-particle":"","family":"Butt","given":"Hassan Anjum","non-dropping-particle":"","parse-names":false,"suffix":""},{"dropping-particle":"","family":"Haroon","given":"Omair","non-dropping-particle":"","parse-names":false,"suffix":""},{"dropping-particle":"","family":"Rizvi","given":"Syed Aun R.","non-dropping-particle":"","parse-names":false,"suffix":""}],"container-title":"Finance Research Letters","id":"ITEM-1","issued":{"date-parts":[["2020"]]},"page":"1-9","publisher":"Elsevier","title":"Deaths, panic, lockdowns and US equity markets: The case of COVID-19 pandemic","type":"article-journal"},"uris":["http://www.mendeley.com/documents/?uuid=40856bbb-ba38-4adc-be95-8cad9a6ac5ba","http://www.mendeley.com/documents/?uuid=6cd552ff-ecb2-4948-9367-0f0485d4eb11"]}],"mendeley":{"formattedCitation":"(Baig et al., 2020)","manualFormatting":"Baig et al. (2020)","plainTextFormattedCitation":"(Baig et al., 2020)","previouslyFormattedCitation":"(Baig et al., 2020)"},"properties":{"noteIndex":0},"schema":"https://github.com/citation-style-language/schema/raw/master/csl-citation.json"}</w:instrText>
        </w:r>
        <w:r w:rsidRPr="00F10029">
          <w:rPr>
            <w:rStyle w:val="Hyperlink"/>
            <w:rFonts w:ascii="Times New Roman" w:hAnsi="Times New Roman" w:cs="Times New Roman"/>
            <w:sz w:val="24"/>
            <w:szCs w:val="24"/>
            <w:u w:val="none"/>
            <w:shd w:val="clear" w:color="auto" w:fill="FFFFFF"/>
          </w:rPr>
          <w:fldChar w:fldCharType="separate"/>
        </w:r>
        <w:r w:rsidRPr="00F10029">
          <w:rPr>
            <w:rStyle w:val="Hyperlink"/>
            <w:rFonts w:ascii="Times New Roman" w:hAnsi="Times New Roman" w:cs="Times New Roman"/>
            <w:noProof/>
            <w:sz w:val="24"/>
            <w:szCs w:val="24"/>
            <w:u w:val="none"/>
            <w:shd w:val="clear" w:color="auto" w:fill="FFFFFF"/>
          </w:rPr>
          <w:t>Baig et al. (2020)</w:t>
        </w:r>
        <w:r w:rsidRPr="00F10029">
          <w:rPr>
            <w:rStyle w:val="Hyperlink"/>
            <w:rFonts w:ascii="Times New Roman" w:hAnsi="Times New Roman" w:cs="Times New Roman"/>
            <w:sz w:val="24"/>
            <w:szCs w:val="24"/>
            <w:u w:val="none"/>
            <w:shd w:val="clear" w:color="auto" w:fill="FFFFFF"/>
          </w:rPr>
          <w:fldChar w:fldCharType="end"/>
        </w:r>
      </w:hyperlink>
      <w:r w:rsidRPr="00F10029">
        <w:rPr>
          <w:rFonts w:ascii="Times New Roman" w:hAnsi="Times New Roman" w:cs="Times New Roman"/>
          <w:sz w:val="24"/>
          <w:szCs w:val="24"/>
        </w:rPr>
        <w:t xml:space="preserve"> </w:t>
      </w:r>
      <w:r w:rsidRPr="00F10029">
        <w:rPr>
          <w:rFonts w:ascii="Times New Roman" w:hAnsi="Times New Roman" w:cs="Times New Roman"/>
          <w:sz w:val="24"/>
          <w:szCs w:val="24"/>
          <w:lang w:val="id-ID"/>
        </w:rPr>
        <w:t>and</w:t>
      </w:r>
      <w:r w:rsidRPr="00F10029">
        <w:rPr>
          <w:rFonts w:ascii="Times New Roman" w:hAnsi="Times New Roman" w:cs="Times New Roman"/>
          <w:sz w:val="24"/>
          <w:szCs w:val="24"/>
        </w:rPr>
        <w:t xml:space="preserve"> </w:t>
      </w:r>
      <w:hyperlink w:anchor="Eleftheriou2020" w:history="1">
        <w:r w:rsidRPr="00F10029">
          <w:rPr>
            <w:rStyle w:val="Hyperlink"/>
            <w:rFonts w:ascii="Times New Roman" w:hAnsi="Times New Roman" w:cs="Times New Roman"/>
            <w:sz w:val="24"/>
            <w:szCs w:val="24"/>
            <w:u w:val="none"/>
          </w:rPr>
          <w:fldChar w:fldCharType="begin" w:fldLock="1"/>
        </w:r>
        <w:r w:rsidRPr="00F10029">
          <w:rPr>
            <w:rStyle w:val="Hyperlink"/>
            <w:rFonts w:ascii="Times New Roman" w:hAnsi="Times New Roman" w:cs="Times New Roman"/>
            <w:sz w:val="24"/>
            <w:szCs w:val="24"/>
            <w:u w:val="none"/>
          </w:rPr>
          <w:instrText>ADDIN CSL_CITATION {"citationItems":[{"id":"ITEM-1","itemData":{"abstract":"We investigate the impact of governments' social distancing measures against the novel coronavirus disease 2019 (COVID-19) on 45 major stock market indices. We find evidence of negative direct and indirect (spillover) effects for the initial period of containment measures (lockdown). JEL classifications: C23, G15, I18","author":[{"dropping-particle":"","family":"Eleftheriou","given":"Konstantinos","non-dropping-particle":"","parse-names":false,"suffix":""},{"dropping-particle":"","family":"Patsoulis","given":"Patroklos","non-dropping-particle":"","parse-names":false,"suffix":""}],"id":"ITEM-1","issue":"May","issued":{"date-parts":[["2020"]]},"number":"100662","number-of-pages":"1-9","publisher-place":"Munich","title":"COVID-19 Lockdown Intensity and Stock Market Returns: A Spatial Econometrics Approach","type":"report"},"uris":["http://www.mendeley.com/documents/?uuid=25e0faec-b2c5-4ce2-a67f-6fc23739bb03","http://www.mendeley.com/documents/?uuid=7b27e067-ee05-4f23-a86c-7cc51f35a611"]}],"mendeley":{"formattedCitation":"(Eleftheriou &amp; Patsoulis, 2020)","manualFormatting":"Eleftheriou &amp; Patsoulis (2020)","plainTextFormattedCitation":"(Eleftheriou &amp; Patsoulis, 2020)","previouslyFormattedCitation":"(Eleftheriou &amp; Patsoulis, 2020)"},"properties":{"noteIndex":0},"schema":"https://github.com/citation-style-language/schema/raw/master/csl-citation.json"}</w:instrText>
        </w:r>
        <w:r w:rsidRPr="00F10029">
          <w:rPr>
            <w:rStyle w:val="Hyperlink"/>
            <w:rFonts w:ascii="Times New Roman" w:hAnsi="Times New Roman" w:cs="Times New Roman"/>
            <w:sz w:val="24"/>
            <w:szCs w:val="24"/>
            <w:u w:val="none"/>
          </w:rPr>
          <w:fldChar w:fldCharType="separate"/>
        </w:r>
        <w:r w:rsidRPr="00F10029">
          <w:rPr>
            <w:rStyle w:val="Hyperlink"/>
            <w:rFonts w:ascii="Times New Roman" w:hAnsi="Times New Roman" w:cs="Times New Roman"/>
            <w:noProof/>
            <w:sz w:val="24"/>
            <w:szCs w:val="24"/>
            <w:u w:val="none"/>
          </w:rPr>
          <w:t>Eleftheriou &amp; Patsoulis (2020)</w:t>
        </w:r>
        <w:r w:rsidRPr="00F10029">
          <w:rPr>
            <w:rStyle w:val="Hyperlink"/>
            <w:rFonts w:ascii="Times New Roman" w:hAnsi="Times New Roman" w:cs="Times New Roman"/>
            <w:sz w:val="24"/>
            <w:szCs w:val="24"/>
            <w:u w:val="none"/>
          </w:rPr>
          <w:fldChar w:fldCharType="end"/>
        </w:r>
      </w:hyperlink>
      <w:r w:rsidRPr="00F10029">
        <w:rPr>
          <w:rFonts w:ascii="Times New Roman" w:hAnsi="Times New Roman" w:cs="Times New Roman"/>
          <w:sz w:val="24"/>
          <w:szCs w:val="24"/>
        </w:rPr>
        <w:t xml:space="preserve"> indicate a negative effect of the lockdown on the US and international stock markets. </w:t>
      </w:r>
    </w:p>
    <w:p w14:paraId="6C57A46F" w14:textId="77777777" w:rsidR="0057037C" w:rsidRPr="00F10029" w:rsidRDefault="0057037C" w:rsidP="0057037C">
      <w:pPr>
        <w:spacing w:after="0" w:line="240" w:lineRule="auto"/>
        <w:ind w:firstLine="567"/>
        <w:jc w:val="both"/>
        <w:rPr>
          <w:rFonts w:ascii="Times New Roman" w:hAnsi="Times New Roman" w:cs="Times New Roman"/>
          <w:color w:val="000000" w:themeColor="text1"/>
          <w:sz w:val="24"/>
          <w:szCs w:val="24"/>
        </w:rPr>
      </w:pPr>
      <w:r w:rsidRPr="00F10029">
        <w:rPr>
          <w:rFonts w:ascii="Times New Roman" w:hAnsi="Times New Roman" w:cs="Times New Roman"/>
          <w:color w:val="000000" w:themeColor="text1"/>
          <w:sz w:val="24"/>
          <w:szCs w:val="24"/>
        </w:rPr>
        <w:t xml:space="preserve">Previous studies generally examine the impact of COVID-19 on the capital markets. However, this study takes a more specific approach by analyzing the effects on individual subsectors. The subsectors selected for this research are those whose business activities align with Sharia principles and have been significantly influenced by the COVID-19 pandemic. Therefore, this study tries to examine the effect of the pandemic by investigating investors' behavior and market reactions but focuses on sectors directly adjacent to the pandemic, namely the health, telecommunications, transportation, and food and beverage subsectors. </w:t>
      </w:r>
    </w:p>
    <w:p w14:paraId="794C25AA" w14:textId="77777777" w:rsidR="0057037C" w:rsidRPr="00F10029" w:rsidRDefault="0057037C" w:rsidP="0057037C">
      <w:pPr>
        <w:spacing w:after="0" w:line="240" w:lineRule="auto"/>
        <w:ind w:firstLine="567"/>
        <w:jc w:val="both"/>
        <w:rPr>
          <w:rFonts w:ascii="Times New Roman" w:hAnsi="Times New Roman" w:cs="Times New Roman"/>
          <w:color w:val="000000"/>
          <w:sz w:val="24"/>
          <w:szCs w:val="24"/>
          <w:shd w:val="clear" w:color="auto" w:fill="FFFFFF"/>
        </w:rPr>
      </w:pPr>
      <w:r w:rsidRPr="00F10029">
        <w:rPr>
          <w:rFonts w:ascii="Times New Roman" w:hAnsi="Times New Roman" w:cs="Times New Roman"/>
          <w:sz w:val="24"/>
          <w:szCs w:val="24"/>
        </w:rPr>
        <w:t xml:space="preserve">The Indonesia Stock Exchange is the fourth best-performing stock exchange in Southeast Asia and reached the eleventh rank in the Asia Pacific in 2019 </w:t>
      </w:r>
      <w:r w:rsidRPr="00F10029">
        <w:rPr>
          <w:rFonts w:ascii="Times New Roman" w:hAnsi="Times New Roman" w:cs="Times New Roman"/>
          <w:color w:val="000000" w:themeColor="text1"/>
          <w:sz w:val="24"/>
          <w:szCs w:val="24"/>
        </w:rPr>
        <w:fldChar w:fldCharType="begin" w:fldLock="1"/>
      </w:r>
      <w:r w:rsidRPr="00F10029">
        <w:rPr>
          <w:rFonts w:ascii="Times New Roman" w:hAnsi="Times New Roman" w:cs="Times New Roman"/>
          <w:color w:val="000000" w:themeColor="text1"/>
          <w:sz w:val="24"/>
          <w:szCs w:val="24"/>
        </w:rPr>
        <w:instrText>ADDIN CSL_CITATION {"citationItems":[{"id":"ITEM-1","itemData":{"author":[{"dropping-particle":"","family":"Aldin","given":"Ihya Ulum","non-dropping-particle":"","parse-names":false,"suffix":""}],"id":"ITEM-1","issued":{"date-parts":[["2019"]]},"title":"Naik 1,7% Selama 2019, IHSG Kalah oleh 3 Bursa Negara di Asia Tenggara","type":"webpage"},"uris":["http://www.mendeley.com/documents/?uuid=37b7b34a-1a96-455e-8d45-38e6060effa9","http://www.mendeley.com/documents/?uuid=0f585102-6ce3-4890-9b8c-1f3e75b8aa30","http://www.mendeley.com/documents/?uuid=59a39147-95f0-4980-befa-d987e5ba93c8"]}],"mendeley":{"formattedCitation":"(Aldin, 2019)","plainTextFormattedCitation":"(Aldin, 2019)","previouslyFormattedCitation":"(Aldin, 2019)"},"properties":{"noteIndex":0},"schema":"https://github.com/citation-style-language/schema/raw/master/csl-citation.json"}</w:instrText>
      </w:r>
      <w:r w:rsidRPr="00F10029">
        <w:rPr>
          <w:rFonts w:ascii="Times New Roman" w:hAnsi="Times New Roman" w:cs="Times New Roman"/>
          <w:color w:val="000000" w:themeColor="text1"/>
          <w:sz w:val="24"/>
          <w:szCs w:val="24"/>
        </w:rPr>
        <w:fldChar w:fldCharType="separate"/>
      </w:r>
      <w:r w:rsidRPr="00F10029">
        <w:rPr>
          <w:rFonts w:ascii="Times New Roman" w:hAnsi="Times New Roman" w:cs="Times New Roman"/>
          <w:noProof/>
          <w:color w:val="000000" w:themeColor="text1"/>
          <w:sz w:val="24"/>
          <w:szCs w:val="24"/>
        </w:rPr>
        <w:t>(</w:t>
      </w:r>
      <w:hyperlink w:anchor="Aldin2019" w:history="1">
        <w:r w:rsidRPr="00F10029">
          <w:rPr>
            <w:rStyle w:val="Hyperlink"/>
            <w:rFonts w:ascii="Times New Roman" w:hAnsi="Times New Roman" w:cs="Times New Roman"/>
            <w:noProof/>
            <w:sz w:val="24"/>
            <w:szCs w:val="24"/>
            <w:u w:val="none"/>
          </w:rPr>
          <w:t>Aldin, 2019</w:t>
        </w:r>
      </w:hyperlink>
      <w:r w:rsidRPr="00F10029">
        <w:rPr>
          <w:rFonts w:ascii="Times New Roman" w:hAnsi="Times New Roman" w:cs="Times New Roman"/>
          <w:noProof/>
          <w:color w:val="000000" w:themeColor="text1"/>
          <w:sz w:val="24"/>
          <w:szCs w:val="24"/>
        </w:rPr>
        <w:t>)</w:t>
      </w:r>
      <w:r w:rsidRPr="00F10029">
        <w:rPr>
          <w:rFonts w:ascii="Times New Roman" w:hAnsi="Times New Roman" w:cs="Times New Roman"/>
          <w:color w:val="000000" w:themeColor="text1"/>
          <w:sz w:val="24"/>
          <w:szCs w:val="24"/>
        </w:rPr>
        <w:fldChar w:fldCharType="end"/>
      </w:r>
      <w:r w:rsidRPr="00F10029">
        <w:rPr>
          <w:rFonts w:ascii="Times New Roman" w:hAnsi="Times New Roman" w:cs="Times New Roman"/>
          <w:color w:val="000000" w:themeColor="text1"/>
          <w:sz w:val="24"/>
          <w:szCs w:val="24"/>
        </w:rPr>
        <w:t xml:space="preserve">. </w:t>
      </w:r>
      <w:r w:rsidRPr="00F10029">
        <w:rPr>
          <w:rFonts w:ascii="Times New Roman" w:hAnsi="Times New Roman" w:cs="Times New Roman"/>
          <w:sz w:val="24"/>
          <w:szCs w:val="24"/>
        </w:rPr>
        <w:t xml:space="preserve">However, the rating steps back compared to the previous year, which recorded the second-best position in Asia in major stock movements </w:t>
      </w:r>
      <w:r w:rsidRPr="00F10029">
        <w:rPr>
          <w:rFonts w:ascii="Times New Roman" w:hAnsi="Times New Roman" w:cs="Times New Roman"/>
          <w:color w:val="000000" w:themeColor="text1"/>
          <w:sz w:val="24"/>
          <w:szCs w:val="24"/>
        </w:rPr>
        <w:fldChar w:fldCharType="begin" w:fldLock="1"/>
      </w:r>
      <w:r w:rsidRPr="00F10029">
        <w:rPr>
          <w:rFonts w:ascii="Times New Roman" w:hAnsi="Times New Roman" w:cs="Times New Roman"/>
          <w:color w:val="000000" w:themeColor="text1"/>
          <w:sz w:val="24"/>
          <w:szCs w:val="24"/>
        </w:rPr>
        <w:instrText>ADDIN CSL_CITATION {"citationItems":[{"id":"ITEM-1","itemData":{"author":[{"dropping-particle":"","family":"Arief","given":"Tegar","non-dropping-particle":"","parse-names":false,"suffix":""}],"id":"ITEM-1","issued":{"date-parts":[["2018"]]},"title":"Menjadi Terbaik Kedua di Asia, Ini Pencapaian Kinerja IHSG Sepanjang 2018","type":"webpage"},"uris":["http://www.mendeley.com/documents/?uuid=985fd41c-d897-4c9b-a700-daca10a6c7ee","http://www.mendeley.com/documents/?uuid=e53bbbf2-670c-41b0-aef7-74bd918fdff2","http://www.mendeley.com/documents/?uuid=48fca0ea-a4bc-4283-b5dd-30a953de5f84"]}],"mendeley":{"formattedCitation":"(Arief, 2018)","plainTextFormattedCitation":"(Arief, 2018)","previouslyFormattedCitation":"(Arief, 2018)"},"properties":{"noteIndex":0},"schema":"https://github.com/citation-style-language/schema/raw/master/csl-citation.json"}</w:instrText>
      </w:r>
      <w:r w:rsidRPr="00F10029">
        <w:rPr>
          <w:rFonts w:ascii="Times New Roman" w:hAnsi="Times New Roman" w:cs="Times New Roman"/>
          <w:color w:val="000000" w:themeColor="text1"/>
          <w:sz w:val="24"/>
          <w:szCs w:val="24"/>
        </w:rPr>
        <w:fldChar w:fldCharType="separate"/>
      </w:r>
      <w:r w:rsidRPr="00F10029">
        <w:rPr>
          <w:rFonts w:ascii="Times New Roman" w:hAnsi="Times New Roman" w:cs="Times New Roman"/>
          <w:noProof/>
          <w:color w:val="000000" w:themeColor="text1"/>
          <w:sz w:val="24"/>
          <w:szCs w:val="24"/>
        </w:rPr>
        <w:t>(</w:t>
      </w:r>
      <w:hyperlink w:anchor="Arief2018" w:history="1">
        <w:r w:rsidRPr="00F10029">
          <w:rPr>
            <w:rStyle w:val="Hyperlink"/>
            <w:rFonts w:ascii="Times New Roman" w:hAnsi="Times New Roman" w:cs="Times New Roman"/>
            <w:noProof/>
            <w:sz w:val="24"/>
            <w:szCs w:val="24"/>
            <w:u w:val="none"/>
          </w:rPr>
          <w:t>Arief, 2018</w:t>
        </w:r>
      </w:hyperlink>
      <w:r w:rsidRPr="00F10029">
        <w:rPr>
          <w:rFonts w:ascii="Times New Roman" w:hAnsi="Times New Roman" w:cs="Times New Roman"/>
          <w:noProof/>
          <w:color w:val="000000" w:themeColor="text1"/>
          <w:sz w:val="24"/>
          <w:szCs w:val="24"/>
        </w:rPr>
        <w:t>)</w:t>
      </w:r>
      <w:r w:rsidRPr="00F10029">
        <w:rPr>
          <w:rFonts w:ascii="Times New Roman" w:hAnsi="Times New Roman" w:cs="Times New Roman"/>
          <w:color w:val="000000" w:themeColor="text1"/>
          <w:sz w:val="24"/>
          <w:szCs w:val="24"/>
        </w:rPr>
        <w:fldChar w:fldCharType="end"/>
      </w:r>
      <w:r w:rsidRPr="00F10029">
        <w:rPr>
          <w:rFonts w:ascii="Times New Roman" w:hAnsi="Times New Roman" w:cs="Times New Roman"/>
          <w:color w:val="000000" w:themeColor="text1"/>
          <w:sz w:val="24"/>
          <w:szCs w:val="24"/>
          <w:shd w:val="clear" w:color="auto" w:fill="FCFCFC"/>
        </w:rPr>
        <w:t>.</w:t>
      </w:r>
      <w:r w:rsidRPr="00F10029">
        <w:rPr>
          <w:rFonts w:ascii="Times New Roman" w:hAnsi="Times New Roman" w:cs="Times New Roman"/>
          <w:sz w:val="24"/>
          <w:szCs w:val="24"/>
        </w:rPr>
        <w:t xml:space="preserve"> Since the beginning of 2020, stock movements have been on a downward trend (bearish). On the day of the announcement of the first COVID-19 case in Indonesia, the Jakarta Composite Index (JCI) recorded a decrease of 91 points (1.67%). The increasing Number of COVID-19 cases made the JCI fall even more profound. On March 9, 2020, the JCI had decreased by 6.5%. This condition forces regulators to implement a trading stop policy (trading halt) to prevent the decline from deepening. Shortly after WHO announced a global pandemic, trade on March 12, 2020, the JCI experienced a drop of more than 5%. At that time, the JCI corrected by 258 points or 5.01% to the level of 4,895 </w:t>
      </w:r>
      <w:r w:rsidRPr="00F10029">
        <w:rPr>
          <w:rFonts w:ascii="Times New Roman" w:hAnsi="Times New Roman" w:cs="Times New Roman"/>
          <w:color w:val="000000"/>
          <w:sz w:val="24"/>
          <w:szCs w:val="24"/>
          <w:shd w:val="clear" w:color="auto" w:fill="FFFFFF"/>
        </w:rPr>
        <w:fldChar w:fldCharType="begin" w:fldLock="1"/>
      </w:r>
      <w:r w:rsidRPr="00F10029">
        <w:rPr>
          <w:rFonts w:ascii="Times New Roman" w:hAnsi="Times New Roman" w:cs="Times New Roman"/>
          <w:color w:val="000000"/>
          <w:sz w:val="24"/>
          <w:szCs w:val="24"/>
          <w:shd w:val="clear" w:color="auto" w:fill="FFFFFF"/>
        </w:rPr>
        <w:instrText>ADDIN CSL_CITATION {"citationItems":[{"id":"ITEM-1","itemData":{"author":[{"dropping-particle":"","family":"Simorangkir","given":"Eduardo","non-dropping-particle":"","parse-names":false,"suffix":""}],"id":"ITEM-1","issued":{"date-parts":[["2020"]]},"title":"Entah Apa yang Merasukinya, IHSG Nyungsep 6,5%","type":"webpage"},"uris":["http://www.mendeley.com/documents/?uuid=d0cbd97b-23c4-42e0-bdac-fc3782d623b2","http://www.mendeley.com/documents/?uuid=824d6953-8662-42f0-874e-4eb49c7842cf","http://www.mendeley.com/documents/?uuid=5d9b4c6d-be9b-44c8-82f9-711cf3767051"]}],"mendeley":{"formattedCitation":"(Simorangkir, 2020)","plainTextFormattedCitation":"(Simorangkir, 2020)","previouslyFormattedCitation":"(Simorangkir, 2020)"},"properties":{"noteIndex":0},"schema":"https://github.com/citation-style-language/schema/raw/master/csl-citation.json"}</w:instrText>
      </w:r>
      <w:r w:rsidRPr="00F10029">
        <w:rPr>
          <w:rFonts w:ascii="Times New Roman" w:hAnsi="Times New Roman" w:cs="Times New Roman"/>
          <w:color w:val="000000"/>
          <w:sz w:val="24"/>
          <w:szCs w:val="24"/>
          <w:shd w:val="clear" w:color="auto" w:fill="FFFFFF"/>
        </w:rPr>
        <w:fldChar w:fldCharType="separate"/>
      </w:r>
      <w:r w:rsidRPr="00F10029">
        <w:rPr>
          <w:rFonts w:ascii="Times New Roman" w:hAnsi="Times New Roman" w:cs="Times New Roman"/>
          <w:noProof/>
          <w:color w:val="000000"/>
          <w:sz w:val="24"/>
          <w:szCs w:val="24"/>
          <w:shd w:val="clear" w:color="auto" w:fill="FFFFFF"/>
        </w:rPr>
        <w:t>(</w:t>
      </w:r>
      <w:hyperlink w:anchor="Simorangkir2020" w:history="1">
        <w:r w:rsidRPr="00F10029">
          <w:rPr>
            <w:rStyle w:val="Hyperlink"/>
            <w:rFonts w:ascii="Times New Roman" w:hAnsi="Times New Roman" w:cs="Times New Roman"/>
            <w:noProof/>
            <w:sz w:val="24"/>
            <w:szCs w:val="24"/>
            <w:u w:val="none"/>
            <w:shd w:val="clear" w:color="auto" w:fill="FFFFFF"/>
          </w:rPr>
          <w:t>Simorangkir, 2020</w:t>
        </w:r>
      </w:hyperlink>
      <w:r w:rsidRPr="00F10029">
        <w:rPr>
          <w:rFonts w:ascii="Times New Roman" w:hAnsi="Times New Roman" w:cs="Times New Roman"/>
          <w:noProof/>
          <w:color w:val="000000"/>
          <w:sz w:val="24"/>
          <w:szCs w:val="24"/>
          <w:shd w:val="clear" w:color="auto" w:fill="FFFFFF"/>
        </w:rPr>
        <w:t>)</w:t>
      </w:r>
      <w:r w:rsidRPr="00F10029">
        <w:rPr>
          <w:rFonts w:ascii="Times New Roman" w:hAnsi="Times New Roman" w:cs="Times New Roman"/>
          <w:color w:val="000000"/>
          <w:sz w:val="24"/>
          <w:szCs w:val="24"/>
          <w:shd w:val="clear" w:color="auto" w:fill="FFFFFF"/>
        </w:rPr>
        <w:fldChar w:fldCharType="end"/>
      </w:r>
      <w:r w:rsidRPr="00F10029">
        <w:rPr>
          <w:rFonts w:ascii="Times New Roman" w:hAnsi="Times New Roman" w:cs="Times New Roman"/>
          <w:color w:val="000000"/>
          <w:sz w:val="24"/>
          <w:szCs w:val="24"/>
          <w:shd w:val="clear" w:color="auto" w:fill="FFFFFF"/>
        </w:rPr>
        <w:t>.</w:t>
      </w:r>
    </w:p>
    <w:p w14:paraId="794DE7F6" w14:textId="77777777" w:rsidR="0057037C" w:rsidRPr="00F10029" w:rsidRDefault="0057037C" w:rsidP="0057037C">
      <w:pPr>
        <w:spacing w:after="0" w:line="240" w:lineRule="auto"/>
        <w:ind w:firstLine="567"/>
        <w:jc w:val="both"/>
        <w:rPr>
          <w:rFonts w:ascii="Times New Roman" w:hAnsi="Times New Roman" w:cs="Times New Roman"/>
          <w:color w:val="000000"/>
          <w:sz w:val="24"/>
          <w:szCs w:val="24"/>
          <w:shd w:val="clear" w:color="auto" w:fill="FFFFFF"/>
        </w:rPr>
      </w:pPr>
    </w:p>
    <w:p w14:paraId="3CC8B64A" w14:textId="77777777" w:rsidR="0057037C" w:rsidRPr="00F10029" w:rsidRDefault="0057037C" w:rsidP="0057037C">
      <w:pPr>
        <w:spacing w:after="0" w:line="240" w:lineRule="auto"/>
        <w:ind w:firstLine="567"/>
        <w:jc w:val="both"/>
        <w:rPr>
          <w:rFonts w:ascii="Times New Roman" w:hAnsi="Times New Roman" w:cs="Times New Roman"/>
          <w:color w:val="000000"/>
          <w:sz w:val="24"/>
          <w:szCs w:val="24"/>
          <w:shd w:val="clear" w:color="auto" w:fill="FFFFFF"/>
        </w:rPr>
      </w:pPr>
      <w:r w:rsidRPr="00F10029">
        <w:rPr>
          <w:rFonts w:ascii="Times New Roman" w:hAnsi="Times New Roman" w:cs="Times New Roman"/>
          <w:noProof/>
          <w:sz w:val="24"/>
          <w:szCs w:val="24"/>
        </w:rPr>
        <w:drawing>
          <wp:inline distT="0" distB="0" distL="0" distR="0" wp14:anchorId="1D9F4450" wp14:editId="020C763A">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05FA57" w14:textId="047EF8EE" w:rsidR="0057037C" w:rsidRPr="00F10029" w:rsidRDefault="0057037C" w:rsidP="0057037C">
      <w:pPr>
        <w:spacing w:after="0" w:line="240" w:lineRule="auto"/>
        <w:ind w:firstLine="567"/>
        <w:jc w:val="center"/>
        <w:rPr>
          <w:rFonts w:ascii="Times New Roman" w:hAnsi="Times New Roman" w:cs="Times New Roman"/>
          <w:color w:val="000000" w:themeColor="text1"/>
        </w:rPr>
      </w:pPr>
      <w:r w:rsidRPr="00F10029">
        <w:rPr>
          <w:rFonts w:ascii="Times New Roman" w:hAnsi="Times New Roman" w:cs="Times New Roman"/>
          <w:sz w:val="24"/>
          <w:szCs w:val="24"/>
        </w:rPr>
        <w:tab/>
      </w:r>
      <w:r w:rsidRPr="00F10029">
        <w:rPr>
          <w:rFonts w:ascii="Times New Roman" w:hAnsi="Times New Roman" w:cs="Times New Roman"/>
          <w:color w:val="000000" w:themeColor="text1"/>
        </w:rPr>
        <w:t>Figure 1</w:t>
      </w:r>
      <w:r w:rsidR="00280E32" w:rsidRPr="00F10029">
        <w:rPr>
          <w:rFonts w:ascii="Times New Roman" w:hAnsi="Times New Roman" w:cs="Times New Roman"/>
          <w:color w:val="000000" w:themeColor="text1"/>
        </w:rPr>
        <w:t>.</w:t>
      </w:r>
      <w:r w:rsidRPr="00F10029">
        <w:rPr>
          <w:rFonts w:ascii="Times New Roman" w:hAnsi="Times New Roman" w:cs="Times New Roman"/>
          <w:color w:val="000000" w:themeColor="text1"/>
        </w:rPr>
        <w:t xml:space="preserve"> The movement of stock prices around the event</w:t>
      </w:r>
    </w:p>
    <w:p w14:paraId="2F61C40F" w14:textId="77777777" w:rsidR="0057037C" w:rsidRPr="00F10029" w:rsidRDefault="0057037C" w:rsidP="0057037C">
      <w:pPr>
        <w:spacing w:after="0" w:line="240" w:lineRule="auto"/>
        <w:ind w:firstLine="567"/>
        <w:jc w:val="center"/>
        <w:rPr>
          <w:rFonts w:ascii="Times New Roman" w:hAnsi="Times New Roman" w:cs="Times New Roman"/>
          <w:color w:val="000000" w:themeColor="text1"/>
        </w:rPr>
      </w:pPr>
      <w:r w:rsidRPr="00F10029">
        <w:rPr>
          <w:rFonts w:ascii="Times New Roman" w:hAnsi="Times New Roman" w:cs="Times New Roman"/>
          <w:color w:val="000000" w:themeColor="text1"/>
        </w:rPr>
        <w:t xml:space="preserve">Source: </w:t>
      </w:r>
      <w:r w:rsidRPr="00F10029">
        <w:rPr>
          <w:rFonts w:ascii="Times New Roman" w:hAnsi="Times New Roman" w:cs="Times New Roman"/>
          <w:color w:val="000000" w:themeColor="text1"/>
        </w:rPr>
        <w:fldChar w:fldCharType="begin" w:fldLock="1"/>
      </w:r>
      <w:r w:rsidRPr="00F10029">
        <w:rPr>
          <w:rFonts w:ascii="Times New Roman" w:hAnsi="Times New Roman" w:cs="Times New Roman"/>
          <w:color w:val="000000" w:themeColor="text1"/>
        </w:rPr>
        <w:instrText>ADDIN CSL_CITATION {"citationItems":[{"id":"ITEM-1","itemData":{"author":[{"dropping-particle":"","family":"IDX","given":"","non-dropping-particle":"","parse-names":false,"suffix":""}],"id":"ITEM-1","issued":{"date-parts":[["2020"]]},"title":"IDX Monthly Statistics","type":"report"},"uris":["http://www.mendeley.com/documents/?uuid=c6dfddf6-f14e-4e42-a897-73b4f6b9b0ba","http://www.mendeley.com/documents/?uuid=06783db7-6efb-4beb-bd7d-004bfc105f07","http://www.mendeley.com/documents/?uuid=94e1b9fc-2acc-4202-a391-a407c7f08ba7"]}],"mendeley":{"formattedCitation":"(IDX, 2020)","plainTextFormattedCitation":"(IDX, 2020)","previouslyFormattedCitation":"(IDX, 2020)"},"properties":{"noteIndex":0},"schema":"https://github.com/citation-style-language/schema/raw/master/csl-citation.json"}</w:instrText>
      </w:r>
      <w:r w:rsidRPr="00F10029">
        <w:rPr>
          <w:rFonts w:ascii="Times New Roman" w:hAnsi="Times New Roman" w:cs="Times New Roman"/>
          <w:color w:val="000000" w:themeColor="text1"/>
        </w:rPr>
        <w:fldChar w:fldCharType="separate"/>
      </w:r>
      <w:r w:rsidRPr="00F10029">
        <w:rPr>
          <w:rFonts w:ascii="Times New Roman" w:hAnsi="Times New Roman" w:cs="Times New Roman"/>
          <w:noProof/>
          <w:color w:val="000000" w:themeColor="text1"/>
        </w:rPr>
        <w:t>(</w:t>
      </w:r>
      <w:hyperlink w:anchor="IDX2020" w:history="1">
        <w:r w:rsidRPr="00F10029">
          <w:rPr>
            <w:rStyle w:val="Hyperlink"/>
            <w:rFonts w:ascii="Times New Roman" w:hAnsi="Times New Roman" w:cs="Times New Roman"/>
            <w:noProof/>
            <w:u w:val="none"/>
          </w:rPr>
          <w:t>IDX, 2020</w:t>
        </w:r>
      </w:hyperlink>
      <w:r w:rsidRPr="00F10029">
        <w:rPr>
          <w:rFonts w:ascii="Times New Roman" w:hAnsi="Times New Roman" w:cs="Times New Roman"/>
          <w:noProof/>
          <w:color w:val="000000" w:themeColor="text1"/>
        </w:rPr>
        <w:t>)</w:t>
      </w:r>
      <w:r w:rsidRPr="00F10029">
        <w:rPr>
          <w:rFonts w:ascii="Times New Roman" w:hAnsi="Times New Roman" w:cs="Times New Roman"/>
          <w:color w:val="000000" w:themeColor="text1"/>
        </w:rPr>
        <w:fldChar w:fldCharType="end"/>
      </w:r>
      <w:r w:rsidRPr="00F10029">
        <w:rPr>
          <w:rFonts w:ascii="Times New Roman" w:hAnsi="Times New Roman" w:cs="Times New Roman"/>
          <w:color w:val="000000" w:themeColor="text1"/>
        </w:rPr>
        <w:t>, data processing</w:t>
      </w:r>
    </w:p>
    <w:p w14:paraId="463795CD" w14:textId="77777777" w:rsidR="0057037C" w:rsidRPr="00F10029" w:rsidRDefault="0057037C" w:rsidP="0057037C">
      <w:pPr>
        <w:pStyle w:val="ListParagraph"/>
        <w:spacing w:after="0" w:line="240" w:lineRule="auto"/>
        <w:ind w:left="0" w:firstLine="567"/>
        <w:jc w:val="both"/>
        <w:rPr>
          <w:rFonts w:ascii="Times New Roman" w:hAnsi="Times New Roman" w:cs="Times New Roman"/>
          <w:color w:val="000000" w:themeColor="text1"/>
          <w:sz w:val="24"/>
          <w:szCs w:val="24"/>
        </w:rPr>
      </w:pPr>
      <w:r w:rsidRPr="00F10029">
        <w:rPr>
          <w:rFonts w:ascii="Times New Roman" w:hAnsi="Times New Roman" w:cs="Times New Roman"/>
          <w:color w:val="000000" w:themeColor="text1"/>
          <w:sz w:val="24"/>
          <w:szCs w:val="24"/>
        </w:rPr>
        <w:lastRenderedPageBreak/>
        <w:t xml:space="preserve">The Covid-19 can affect investors' behavior in investing. The behavioral theory assumes that excessive market volatility derives from emotions and unstable confidence from investors. Volume trading is a trigger of herding behavior. Volume trading can be a reason for investors to imitate one another. Trading volumes that are too large can increase herding behavior because it allows expert investors to make trades more efficiently based on their information and enables uninformed investors to keep up with them. During periods of uncertainty, investors facing the fear of significant losses may choose to imitate other investors and copy their possibly well-informed strategy, accentuating the increase in trading volume </w:t>
      </w:r>
      <w:r w:rsidRPr="00F10029">
        <w:rPr>
          <w:rFonts w:ascii="Times New Roman" w:hAnsi="Times New Roman" w:cs="Times New Roman"/>
          <w:color w:val="000000" w:themeColor="text1"/>
          <w:sz w:val="24"/>
          <w:szCs w:val="24"/>
        </w:rPr>
        <w:fldChar w:fldCharType="begin" w:fldLock="1"/>
      </w:r>
      <w:r w:rsidRPr="00F10029">
        <w:rPr>
          <w:rFonts w:ascii="Times New Roman" w:hAnsi="Times New Roman" w:cs="Times New Roman"/>
          <w:color w:val="000000" w:themeColor="text1"/>
          <w:sz w:val="24"/>
          <w:szCs w:val="24"/>
        </w:rPr>
        <w:instrText>ADDIN CSL_CITATION {"citationItems":[{"id":"ITEM-1","itemData":{"DOI":"10.1016/j.ribaf.2016.03.008","ISSN":"02755319","abstract":"This paper aims to test whether herding behavior is a driving force of excessive market volatility and increasing bubbles in the US stock market at a sectoral level. Trading volume turnover and investors' sentiment are ubiquitous factors besides market return to fuel herding movement in most sectors. Our sample covers all listed companies in the American stock market over four major turmoil periods. Granger causality test shows that herding is a vital ingredient to increasing bubbles in some sectors, but not all. Moreover, herding and trading volume have an inhibiting effect on both overall and in-sector market volatility in large markets, as opposed to concentrated markets commonly studied in the literature.","author":[{"dropping-particle":"","family":"Litimi","given":"Houda","non-dropping-particle":"","parse-names":false,"suffix":""},{"dropping-particle":"","family":"BenSaïda","given":"Ahmed","non-dropping-particle":"","parse-names":false,"suffix":""},{"dropping-particle":"","family":"Bouraoui","given":"Omar","non-dropping-particle":"","parse-names":false,"suffix":""}],"container-title":"Research in International Business and Finance","id":"ITEM-1","issued":{"date-parts":[["2016"]]},"page":"6-21","publisher":"Elsevier B.V.","title":"Herding and excessive risk in the American stock market: A sectoral analysis","type":"article-journal","volume":"38"},"uris":["http://www.mendeley.com/documents/?uuid=1baf8e34-5f41-422a-9bd9-a418f2a30729","http://www.mendeley.com/documents/?uuid=d23e71a5-64df-41d0-b06f-fe50cf5b1de1"]}],"mendeley":{"formattedCitation":"(Litimi et al., 2016)","plainTextFormattedCitation":"(Litimi et al., 2016)","previouslyFormattedCitation":"(Litimi et al., 2016)"},"properties":{"noteIndex":0},"schema":"https://github.com/citation-style-language/schema/raw/master/csl-citation.json"}</w:instrText>
      </w:r>
      <w:r w:rsidRPr="00F10029">
        <w:rPr>
          <w:rFonts w:ascii="Times New Roman" w:hAnsi="Times New Roman" w:cs="Times New Roman"/>
          <w:color w:val="000000" w:themeColor="text1"/>
          <w:sz w:val="24"/>
          <w:szCs w:val="24"/>
        </w:rPr>
        <w:fldChar w:fldCharType="separate"/>
      </w:r>
      <w:r w:rsidRPr="00F10029">
        <w:rPr>
          <w:rFonts w:ascii="Times New Roman" w:hAnsi="Times New Roman" w:cs="Times New Roman"/>
          <w:noProof/>
          <w:color w:val="000000" w:themeColor="text1"/>
          <w:sz w:val="24"/>
          <w:szCs w:val="24"/>
        </w:rPr>
        <w:t>(</w:t>
      </w:r>
      <w:hyperlink w:anchor="Litimi2016" w:history="1">
        <w:r w:rsidRPr="00F10029">
          <w:rPr>
            <w:rStyle w:val="Hyperlink"/>
            <w:rFonts w:ascii="Times New Roman" w:hAnsi="Times New Roman" w:cs="Times New Roman"/>
            <w:noProof/>
            <w:sz w:val="24"/>
            <w:szCs w:val="24"/>
            <w:u w:val="none"/>
          </w:rPr>
          <w:t>Litimi et al., 2016</w:t>
        </w:r>
      </w:hyperlink>
      <w:r w:rsidRPr="00F10029">
        <w:rPr>
          <w:rFonts w:ascii="Times New Roman" w:hAnsi="Times New Roman" w:cs="Times New Roman"/>
          <w:noProof/>
          <w:color w:val="000000" w:themeColor="text1"/>
          <w:sz w:val="24"/>
          <w:szCs w:val="24"/>
        </w:rPr>
        <w:t>)</w:t>
      </w:r>
      <w:r w:rsidRPr="00F10029">
        <w:rPr>
          <w:rFonts w:ascii="Times New Roman" w:hAnsi="Times New Roman" w:cs="Times New Roman"/>
          <w:color w:val="000000" w:themeColor="text1"/>
          <w:sz w:val="24"/>
          <w:szCs w:val="24"/>
        </w:rPr>
        <w:fldChar w:fldCharType="end"/>
      </w:r>
      <w:r w:rsidRPr="00F10029">
        <w:rPr>
          <w:rFonts w:ascii="Times New Roman" w:hAnsi="Times New Roman" w:cs="Times New Roman"/>
          <w:color w:val="000000" w:themeColor="text1"/>
          <w:sz w:val="24"/>
          <w:szCs w:val="24"/>
        </w:rPr>
        <w:t xml:space="preserve">. </w:t>
      </w:r>
    </w:p>
    <w:p w14:paraId="5D7AC225" w14:textId="77777777" w:rsidR="0057037C" w:rsidRPr="00F10029" w:rsidRDefault="0057037C" w:rsidP="0057037C">
      <w:pPr>
        <w:pStyle w:val="ListParagraph"/>
        <w:spacing w:after="0" w:line="240" w:lineRule="auto"/>
        <w:ind w:left="0" w:firstLine="567"/>
        <w:jc w:val="both"/>
        <w:rPr>
          <w:rFonts w:ascii="Times New Roman" w:hAnsi="Times New Roman" w:cs="Times New Roman"/>
          <w:color w:val="000000" w:themeColor="text1"/>
          <w:sz w:val="24"/>
          <w:szCs w:val="24"/>
        </w:rPr>
      </w:pPr>
      <w:r w:rsidRPr="00F10029">
        <w:rPr>
          <w:rFonts w:ascii="Times New Roman" w:hAnsi="Times New Roman" w:cs="Times New Roman"/>
          <w:color w:val="000000" w:themeColor="text1"/>
          <w:sz w:val="24"/>
          <w:szCs w:val="24"/>
        </w:rPr>
        <w:t>This study explored the behavior of investors and the reaction of the stock market in Indonesia in response to the COVID-19 outbreak using the Event Study method. There were four sub-sectors analyzed: the health, telecommunications, transportation, and food and beverages sectors. These sectors are considered the most reactive since they are directly adjacent to the pandemic. Investors have observed changes in share prices since the end of 2019, when the first case occurred in Wuhan. However, this study occupied the official data issued by the Indonesian government when the COVID-19 case was first announced.</w:t>
      </w:r>
    </w:p>
    <w:p w14:paraId="4976FC21" w14:textId="77777777" w:rsidR="0057037C" w:rsidRPr="00F10029" w:rsidRDefault="0057037C" w:rsidP="0057037C">
      <w:pPr>
        <w:spacing w:after="0" w:line="240" w:lineRule="auto"/>
        <w:ind w:firstLine="567"/>
        <w:jc w:val="both"/>
        <w:rPr>
          <w:rFonts w:ascii="Times New Roman" w:hAnsi="Times New Roman" w:cs="Times New Roman"/>
          <w:color w:val="000000" w:themeColor="text1"/>
          <w:sz w:val="24"/>
          <w:szCs w:val="24"/>
        </w:rPr>
      </w:pPr>
      <w:r w:rsidRPr="00F10029">
        <w:rPr>
          <w:rFonts w:ascii="Times New Roman" w:hAnsi="Times New Roman" w:cs="Times New Roman"/>
          <w:color w:val="000000" w:themeColor="text1"/>
          <w:sz w:val="24"/>
          <w:szCs w:val="24"/>
        </w:rPr>
        <w:t>This study found a significant difference in TVA averages and a change in AR two days before and seven days after the announcement on the pharmaceutical sub-sector. There was no TVA average, but significant AAR fluctuations occurred in 11 days during the food and beverages sub-sector observation period. Surprisingly, the telecommunications sub-sector experienced significant negative AAR differences after the announcement, although there was no significant difference in TVA. Finally, there is a negative difference in AAR on 11 days during observation in the transportation sub-sector, but there is no difference in TVA.</w:t>
      </w:r>
      <w:r w:rsidRPr="00F10029">
        <w:rPr>
          <w:rFonts w:ascii="Times New Roman" w:hAnsi="Times New Roman" w:cs="Times New Roman"/>
          <w:color w:val="000000" w:themeColor="text1"/>
          <w:sz w:val="24"/>
          <w:szCs w:val="24"/>
          <w:lang w:val="id-ID"/>
        </w:rPr>
        <w:t xml:space="preserve"> </w:t>
      </w:r>
      <w:r w:rsidRPr="00F10029">
        <w:rPr>
          <w:rFonts w:ascii="Times New Roman" w:hAnsi="Times New Roman" w:cs="Times New Roman"/>
          <w:color w:val="000000" w:themeColor="text1"/>
          <w:sz w:val="24"/>
          <w:szCs w:val="24"/>
        </w:rPr>
        <w:t>To address the gaps highlighted in previous studies, this research provides a unique contribution by analyzing specific sub-sectors within the Indonesian stock market rather than adopting a country-level approach as commonly conducted in Event Study methods.</w:t>
      </w:r>
    </w:p>
    <w:p w14:paraId="74B34D09" w14:textId="77777777" w:rsidR="0057037C" w:rsidRPr="00F10029" w:rsidRDefault="0057037C" w:rsidP="0057037C">
      <w:pPr>
        <w:pStyle w:val="ListParagraph"/>
        <w:spacing w:after="0" w:line="240" w:lineRule="auto"/>
        <w:ind w:left="0" w:firstLine="567"/>
        <w:jc w:val="both"/>
        <w:rPr>
          <w:rFonts w:ascii="Times New Roman" w:hAnsi="Times New Roman" w:cs="Times New Roman"/>
          <w:sz w:val="24"/>
          <w:szCs w:val="24"/>
        </w:rPr>
      </w:pPr>
      <w:r w:rsidRPr="00F10029">
        <w:rPr>
          <w:rFonts w:ascii="Times New Roman" w:hAnsi="Times New Roman" w:cs="Times New Roman"/>
          <w:sz w:val="24"/>
          <w:szCs w:val="24"/>
        </w:rPr>
        <w:t>The remainder of this paper consists of five sections. Next, the literature review section provides an overview of the concept of the capital market in Indonesia and an event study. The third section includes data sources and analysis techniques. The fourth is the findings and analysis section, which describes the results and analyzes each problem formulation. Then, the last section discusses conclusions.</w:t>
      </w:r>
    </w:p>
    <w:p w14:paraId="3C6A11A1" w14:textId="7A2471D8" w:rsidR="00D36994" w:rsidRPr="00F10029" w:rsidRDefault="00D36994" w:rsidP="0057037C">
      <w:pPr>
        <w:spacing w:after="0" w:line="240" w:lineRule="auto"/>
        <w:ind w:firstLine="567"/>
        <w:jc w:val="both"/>
        <w:rPr>
          <w:rFonts w:ascii="Times New Roman" w:hAnsi="Times New Roman" w:cs="Times New Roman"/>
          <w:sz w:val="24"/>
          <w:szCs w:val="24"/>
          <w:lang w:val="en-GB"/>
        </w:rPr>
      </w:pPr>
    </w:p>
    <w:p w14:paraId="503E9B34" w14:textId="5911F8BD" w:rsidR="007543A0" w:rsidRPr="00F10029" w:rsidRDefault="00C07D65" w:rsidP="00715AB5">
      <w:pPr>
        <w:spacing w:after="0" w:line="240" w:lineRule="auto"/>
        <w:jc w:val="both"/>
        <w:rPr>
          <w:rFonts w:ascii="Times New Roman" w:hAnsi="Times New Roman" w:cs="Times New Roman"/>
          <w:b/>
          <w:bCs/>
          <w:sz w:val="24"/>
          <w:szCs w:val="24"/>
        </w:rPr>
      </w:pPr>
      <w:r w:rsidRPr="00F10029">
        <w:rPr>
          <w:rFonts w:ascii="Times New Roman" w:hAnsi="Times New Roman" w:cs="Times New Roman"/>
          <w:b/>
          <w:bCs/>
          <w:sz w:val="24"/>
          <w:szCs w:val="24"/>
        </w:rPr>
        <w:t>Literature Review</w:t>
      </w:r>
    </w:p>
    <w:p w14:paraId="2F17962E" w14:textId="2CFD9BF5" w:rsidR="00715AB5" w:rsidRPr="00F10029" w:rsidRDefault="00715AB5" w:rsidP="00715AB5">
      <w:pPr>
        <w:spacing w:after="0" w:line="240" w:lineRule="auto"/>
        <w:rPr>
          <w:rFonts w:ascii="Times New Roman" w:hAnsi="Times New Roman" w:cs="Times New Roman"/>
          <w:i/>
          <w:iCs/>
          <w:sz w:val="24"/>
          <w:szCs w:val="24"/>
          <w:lang w:val="id-ID"/>
        </w:rPr>
      </w:pPr>
      <w:r w:rsidRPr="00F10029">
        <w:rPr>
          <w:rFonts w:ascii="Times New Roman" w:hAnsi="Times New Roman" w:cs="Times New Roman"/>
          <w:i/>
          <w:iCs/>
          <w:sz w:val="24"/>
          <w:szCs w:val="24"/>
          <w:lang w:val="id-ID"/>
        </w:rPr>
        <w:t xml:space="preserve">Islamic </w:t>
      </w:r>
      <w:r w:rsidR="006E30D4" w:rsidRPr="00F10029">
        <w:rPr>
          <w:rFonts w:ascii="Times New Roman" w:hAnsi="Times New Roman" w:cs="Times New Roman"/>
          <w:i/>
          <w:iCs/>
          <w:sz w:val="24"/>
          <w:szCs w:val="24"/>
          <w:lang w:val="id-ID"/>
        </w:rPr>
        <w:t>e</w:t>
      </w:r>
      <w:r w:rsidRPr="00F10029">
        <w:rPr>
          <w:rFonts w:ascii="Times New Roman" w:hAnsi="Times New Roman" w:cs="Times New Roman"/>
          <w:i/>
          <w:iCs/>
          <w:sz w:val="24"/>
          <w:szCs w:val="24"/>
          <w:lang w:val="id-ID"/>
        </w:rPr>
        <w:t>conomy</w:t>
      </w:r>
    </w:p>
    <w:p w14:paraId="780587FF" w14:textId="57317096" w:rsidR="00715AB5" w:rsidRPr="00F10029" w:rsidRDefault="00715AB5" w:rsidP="00A849A6">
      <w:pPr>
        <w:pStyle w:val="ListParagraph"/>
        <w:spacing w:after="0" w:line="240" w:lineRule="auto"/>
        <w:ind w:left="0"/>
        <w:jc w:val="both"/>
        <w:rPr>
          <w:rFonts w:ascii="Times New Roman" w:hAnsi="Times New Roman" w:cs="Times New Roman"/>
          <w:color w:val="000000" w:themeColor="text1"/>
          <w:sz w:val="24"/>
          <w:szCs w:val="24"/>
        </w:rPr>
      </w:pPr>
      <w:r w:rsidRPr="00F10029">
        <w:rPr>
          <w:rFonts w:ascii="Times New Roman" w:hAnsi="Times New Roman" w:cs="Times New Roman"/>
          <w:sz w:val="24"/>
          <w:szCs w:val="24"/>
          <w:lang w:val="id-ID"/>
        </w:rPr>
        <w:t xml:space="preserve">Islamic economics is a system based on Sharia (Islamic law), aiming to achieve socio-economic justice by incorporating ethical principles and prohibiting activities considered harmful, such as riba (usury), gharar (excessive uncertainty), and maysir (gambling). Unlike conventional economic systems, Islamic economics emphasizes equity, social justice, and the alignment of economic activities with Islamic moral teachings </w:t>
      </w:r>
      <w:r w:rsidRPr="00F10029">
        <w:rPr>
          <w:rFonts w:ascii="Times New Roman" w:hAnsi="Times New Roman" w:cs="Times New Roman"/>
          <w:color w:val="000000" w:themeColor="text1"/>
          <w:sz w:val="24"/>
          <w:szCs w:val="24"/>
        </w:rPr>
        <w:fldChar w:fldCharType="begin" w:fldLock="1"/>
      </w:r>
      <w:r w:rsidRPr="00F10029">
        <w:rPr>
          <w:rFonts w:ascii="Times New Roman" w:hAnsi="Times New Roman" w:cs="Times New Roman"/>
          <w:color w:val="000000" w:themeColor="text1"/>
          <w:sz w:val="24"/>
          <w:szCs w:val="24"/>
        </w:rPr>
        <w:instrText>ADDIN CSL_CITATION {"citationItems":[{"id":"ITEM-1","itemData":{"DOI":"10.1016/j.ribaf.2016.03.008","ISSN":"02755319","abstract":"This paper aims to test whether herding behavior is a driving force of excessive market volatility and increasing bubbles in the US stock market at a sectoral level. Trading volume turnover and investors' sentiment are ubiquitous factors besides market return to fuel herding movement in most sectors. Our sample covers all listed companies in the American stock market over four major turmoil periods. Granger causality test shows that herding is a vital ingredient to increasing bubbles in some sectors, but not all. Moreover, herding and trading volume have an inhibiting effect on both overall and in-sector market volatility in large markets, as opposed to concentrated markets commonly studied in the literature.","author":[{"dropping-particle":"","family":"Litimi","given":"Houda","non-dropping-particle":"","parse-names":false,"suffix":""},{"dropping-particle":"","family":"BenSaïda","given":"Ahmed","non-dropping-particle":"","parse-names":false,"suffix":""},{"dropping-particle":"","family":"Bouraoui","given":"Omar","non-dropping-particle":"","parse-names":false,"suffix":""}],"container-title":"Research in International Business and Finance","id":"ITEM-1","issued":{"date-parts":[["2016"]]},"page":"6-21","publisher":"Elsevier B.V.","title":"Herding and excessive risk in the American stock market: A sectoral analysis","type":"article-journal","volume":"38"},"uris":["http://www.mendeley.com/documents/?uuid=1baf8e34-5f41-422a-9bd9-a418f2a30729","http://www.mendeley.com/documents/?uuid=d23e71a5-64df-41d0-b06f-fe50cf5b1de1"]}],"mendeley":{"formattedCitation":"(Litimi et al., 2016)","plainTextFormattedCitation":"(Litimi et al., 2016)","previouslyFormattedCitation":"(Litimi et al., 2016)"},"properties":{"noteIndex":0},"schema":"https://github.com/citation-style-language/schema/raw/master/csl-citation.json"}</w:instrText>
      </w:r>
      <w:r w:rsidRPr="00F10029">
        <w:rPr>
          <w:rFonts w:ascii="Times New Roman" w:hAnsi="Times New Roman" w:cs="Times New Roman"/>
          <w:color w:val="000000" w:themeColor="text1"/>
          <w:sz w:val="24"/>
          <w:szCs w:val="24"/>
        </w:rPr>
        <w:fldChar w:fldCharType="separate"/>
      </w:r>
      <w:r w:rsidRPr="00F10029">
        <w:rPr>
          <w:rFonts w:ascii="Times New Roman" w:hAnsi="Times New Roman" w:cs="Times New Roman"/>
          <w:noProof/>
          <w:color w:val="000000" w:themeColor="text1"/>
          <w:sz w:val="24"/>
          <w:szCs w:val="24"/>
        </w:rPr>
        <w:t>(</w:t>
      </w:r>
      <w:hyperlink w:anchor="Litimi2016" w:history="1">
        <w:r w:rsidRPr="00F10029">
          <w:rPr>
            <w:rStyle w:val="Hyperlink"/>
            <w:rFonts w:ascii="Times New Roman" w:hAnsi="Times New Roman" w:cs="Times New Roman"/>
            <w:noProof/>
            <w:sz w:val="24"/>
            <w:szCs w:val="24"/>
            <w:u w:val="none"/>
          </w:rPr>
          <w:t>Chapra, 1992</w:t>
        </w:r>
      </w:hyperlink>
      <w:r w:rsidRPr="00F10029">
        <w:rPr>
          <w:rFonts w:ascii="Times New Roman" w:hAnsi="Times New Roman" w:cs="Times New Roman"/>
          <w:noProof/>
          <w:color w:val="000000" w:themeColor="text1"/>
          <w:sz w:val="24"/>
          <w:szCs w:val="24"/>
        </w:rPr>
        <w:t>)</w:t>
      </w:r>
      <w:r w:rsidRPr="00F10029">
        <w:rPr>
          <w:rFonts w:ascii="Times New Roman" w:hAnsi="Times New Roman" w:cs="Times New Roman"/>
          <w:color w:val="000000" w:themeColor="text1"/>
          <w:sz w:val="24"/>
          <w:szCs w:val="24"/>
        </w:rPr>
        <w:fldChar w:fldCharType="end"/>
      </w:r>
      <w:r w:rsidRPr="00F10029">
        <w:rPr>
          <w:rFonts w:ascii="Times New Roman" w:hAnsi="Times New Roman" w:cs="Times New Roman"/>
          <w:color w:val="000000" w:themeColor="text1"/>
          <w:sz w:val="24"/>
          <w:szCs w:val="24"/>
        </w:rPr>
        <w:t>.</w:t>
      </w:r>
      <w:r w:rsidRPr="00F10029">
        <w:rPr>
          <w:rFonts w:ascii="Times New Roman" w:hAnsi="Times New Roman" w:cs="Times New Roman"/>
          <w:sz w:val="24"/>
          <w:szCs w:val="24"/>
        </w:rPr>
        <w:t xml:space="preserve"> </w:t>
      </w:r>
      <w:r w:rsidRPr="00F10029">
        <w:rPr>
          <w:rFonts w:ascii="Times New Roman" w:hAnsi="Times New Roman" w:cs="Times New Roman"/>
          <w:sz w:val="24"/>
          <w:szCs w:val="24"/>
          <w:lang w:val="id-ID"/>
        </w:rPr>
        <w:t>Islamic finance, a practical extension of Islamic economics, facilitates financial transactions while ensuring compliance with Sharia. This system is built on risk-sharing and prohibits speculative activities, offering alternatives such as mudarabah (profit-sharing), musharakah (joint ventures), and ijarah (leasing) (</w:t>
      </w:r>
      <w:hyperlink w:anchor="Litimi2016" w:history="1">
        <w:r w:rsidR="00A849A6" w:rsidRPr="00F10029">
          <w:rPr>
            <w:rStyle w:val="Hyperlink"/>
            <w:rFonts w:ascii="Times New Roman" w:hAnsi="Times New Roman" w:cs="Times New Roman"/>
            <w:noProof/>
            <w:sz w:val="24"/>
            <w:szCs w:val="24"/>
            <w:u w:val="none"/>
          </w:rPr>
          <w:t>Iqbal &amp; Mirakhor</w:t>
        </w:r>
        <w:r w:rsidR="00A849A6" w:rsidRPr="00F10029">
          <w:rPr>
            <w:rStyle w:val="Hyperlink"/>
            <w:rFonts w:ascii="Times New Roman" w:hAnsi="Times New Roman" w:cs="Times New Roman"/>
            <w:noProof/>
            <w:sz w:val="24"/>
            <w:szCs w:val="24"/>
            <w:u w:val="none"/>
          </w:rPr>
          <w:t xml:space="preserve">, </w:t>
        </w:r>
        <w:r w:rsidR="00A849A6" w:rsidRPr="00F10029">
          <w:rPr>
            <w:rStyle w:val="Hyperlink"/>
            <w:rFonts w:ascii="Times New Roman" w:hAnsi="Times New Roman" w:cs="Times New Roman"/>
            <w:noProof/>
            <w:sz w:val="24"/>
            <w:szCs w:val="24"/>
            <w:u w:val="none"/>
          </w:rPr>
          <w:t>2011</w:t>
        </w:r>
      </w:hyperlink>
      <w:r w:rsidR="00A849A6" w:rsidRPr="00F10029">
        <w:rPr>
          <w:rFonts w:ascii="Times New Roman" w:hAnsi="Times New Roman" w:cs="Times New Roman"/>
          <w:sz w:val="24"/>
          <w:szCs w:val="24"/>
        </w:rPr>
        <w:t>)</w:t>
      </w:r>
      <w:r w:rsidRPr="00F10029">
        <w:rPr>
          <w:rFonts w:ascii="Times New Roman" w:hAnsi="Times New Roman" w:cs="Times New Roman"/>
          <w:sz w:val="24"/>
          <w:szCs w:val="24"/>
          <w:lang w:val="id-ID"/>
        </w:rPr>
        <w:t>. These instruments promote fairness and shared responsibility among stakeholders, aligning financial goals with ethical principles.</w:t>
      </w:r>
    </w:p>
    <w:p w14:paraId="29410760" w14:textId="0FFC9D5B" w:rsidR="00715AB5" w:rsidRPr="00F10029" w:rsidRDefault="00715AB5" w:rsidP="00715AB5">
      <w:pPr>
        <w:spacing w:after="0" w:line="240" w:lineRule="auto"/>
        <w:ind w:firstLine="567"/>
        <w:jc w:val="both"/>
        <w:rPr>
          <w:rFonts w:ascii="Times New Roman" w:hAnsi="Times New Roman" w:cs="Times New Roman"/>
          <w:sz w:val="24"/>
          <w:szCs w:val="24"/>
          <w:lang w:val="id-ID"/>
        </w:rPr>
      </w:pPr>
      <w:r w:rsidRPr="00F10029">
        <w:rPr>
          <w:rFonts w:ascii="Times New Roman" w:hAnsi="Times New Roman" w:cs="Times New Roman"/>
          <w:sz w:val="24"/>
          <w:szCs w:val="24"/>
          <w:lang w:val="id-ID"/>
        </w:rPr>
        <w:t>The growth of Islamic finance globally has been substantial, with assets under management surpassing $2 trillion, indicating a rising demand for Sharia-compliant financial products (</w:t>
      </w:r>
      <w:hyperlink w:anchor="Litimi2016" w:history="1">
        <w:r w:rsidR="00A849A6" w:rsidRPr="00F10029">
          <w:rPr>
            <w:rStyle w:val="Hyperlink"/>
            <w:rFonts w:ascii="Times New Roman" w:hAnsi="Times New Roman" w:cs="Times New Roman"/>
            <w:noProof/>
            <w:sz w:val="24"/>
            <w:szCs w:val="24"/>
            <w:u w:val="none"/>
          </w:rPr>
          <w:t>IFSB</w:t>
        </w:r>
        <w:r w:rsidR="00A849A6" w:rsidRPr="00F10029">
          <w:rPr>
            <w:rStyle w:val="Hyperlink"/>
            <w:rFonts w:ascii="Times New Roman" w:hAnsi="Times New Roman" w:cs="Times New Roman"/>
            <w:noProof/>
            <w:sz w:val="24"/>
            <w:szCs w:val="24"/>
            <w:u w:val="none"/>
          </w:rPr>
          <w:t xml:space="preserve">, </w:t>
        </w:r>
        <w:r w:rsidR="00A849A6" w:rsidRPr="00F10029">
          <w:rPr>
            <w:rStyle w:val="Hyperlink"/>
            <w:rFonts w:ascii="Times New Roman" w:hAnsi="Times New Roman" w:cs="Times New Roman"/>
            <w:noProof/>
            <w:sz w:val="24"/>
            <w:szCs w:val="24"/>
            <w:u w:val="none"/>
          </w:rPr>
          <w:t>2021</w:t>
        </w:r>
      </w:hyperlink>
      <w:r w:rsidRPr="00F10029">
        <w:rPr>
          <w:rFonts w:ascii="Times New Roman" w:hAnsi="Times New Roman" w:cs="Times New Roman"/>
          <w:sz w:val="24"/>
          <w:szCs w:val="24"/>
          <w:lang w:val="id-ID"/>
        </w:rPr>
        <w:t xml:space="preserve">). Countries like Malaysia, Saudi Arabia, and Indonesia have established robust frameworks to support the Islamic finance sector, contributing to its growth and integration into the global economy </w:t>
      </w:r>
      <w:r w:rsidRPr="00F10029">
        <w:rPr>
          <w:rFonts w:ascii="Times New Roman" w:hAnsi="Times New Roman" w:cs="Times New Roman"/>
          <w:sz w:val="24"/>
          <w:szCs w:val="24"/>
          <w:lang w:val="id-ID"/>
        </w:rPr>
        <w:fldChar w:fldCharType="begin" w:fldLock="1"/>
      </w:r>
      <w:r w:rsidRPr="00F10029">
        <w:rPr>
          <w:rFonts w:ascii="Times New Roman" w:hAnsi="Times New Roman" w:cs="Times New Roman"/>
          <w:sz w:val="24"/>
          <w:szCs w:val="24"/>
          <w:lang w:val="id-ID"/>
        </w:rPr>
        <w:instrText>ADDIN CSL_CITATION {"citationItems":[{"id":"ITEM-1","itemData":{"DOI":"10.1016/j.physa.2019.123367","ISSN":"03784371 (ISSN)","abstract":"Merton has proposed a model of the contingent claims on a firm as an option on the firms value, and the model is based on a generalization of the Black–Scholes stochastic equation. Merton's model can be used to price any contingent claim on the firm. A risk-sharing oscillator model for the pricing of corporate coupon bonds is proposed that leads to stochastic coupons, with the dynamics of the contingent claims being determined by the quantum oscillator. The oscillator model allows for the exact derivation of many results using quantum mathematics. The price of the risk-sharing coupon bonds and the stochastic coupons is derived exactly using the Feynman path integral. © 2019 Elsevier B.V.","author":[{"dropping-particle":"","family":"Baaquie","given":"B E","non-dropping-particle":"","parse-names":false,"suffix":""}],"container-title":"Physica A: Statistical Mechanics and its Applications","id":"ITEM-1","issued":{"date-parts":[["2020"]]},"language":"English","note":"Cited By :1\n\nExport Date: 3 April 2023\n\nCODEN: PHYAD","publisher":"Elsevier B.V.","publisher-place":"INCEIF: The Global University of Islamic Finance, Malaysia","title":"Merton's equation and the quantum oscillator: Pricing risky corporate coupon bonds","type":"article-journal","volume":"541"},"uris":["http://www.mendeley.com/documents/?uuid=811e36ce-fa64-46bb-8fc0-e47f9631de60"]}],"mendeley":{"formattedCitation":"(Baaquie, 2020)","plainTextFormattedCitation":"(Baaquie, 2020)"},"properties":{"noteIndex":0},"schema":"https://github.com/citation-style-language/schema/raw/master/csl-citation.json"}</w:instrText>
      </w:r>
      <w:r w:rsidRPr="00F10029">
        <w:rPr>
          <w:rFonts w:ascii="Times New Roman" w:hAnsi="Times New Roman" w:cs="Times New Roman"/>
          <w:sz w:val="24"/>
          <w:szCs w:val="24"/>
          <w:lang w:val="id-ID"/>
        </w:rPr>
        <w:fldChar w:fldCharType="separate"/>
      </w:r>
      <w:r w:rsidRPr="00F10029">
        <w:rPr>
          <w:rFonts w:ascii="Times New Roman" w:hAnsi="Times New Roman" w:cs="Times New Roman"/>
          <w:noProof/>
          <w:sz w:val="24"/>
          <w:szCs w:val="24"/>
          <w:lang w:val="id-ID"/>
        </w:rPr>
        <w:t>(</w:t>
      </w:r>
      <w:hyperlink w:anchor="Baaquie2020" w:history="1">
        <w:r w:rsidRPr="00F10029">
          <w:rPr>
            <w:rStyle w:val="Hyperlink"/>
            <w:rFonts w:ascii="Times New Roman" w:hAnsi="Times New Roman" w:cs="Times New Roman"/>
            <w:noProof/>
            <w:sz w:val="24"/>
            <w:szCs w:val="24"/>
            <w:u w:val="none"/>
            <w:lang w:val="id-ID"/>
          </w:rPr>
          <w:t>Baaquie, 2020</w:t>
        </w:r>
      </w:hyperlink>
      <w:r w:rsidRPr="00F10029">
        <w:rPr>
          <w:rFonts w:ascii="Times New Roman" w:hAnsi="Times New Roman" w:cs="Times New Roman"/>
          <w:noProof/>
          <w:sz w:val="24"/>
          <w:szCs w:val="24"/>
          <w:lang w:val="id-ID"/>
        </w:rPr>
        <w:t>)</w:t>
      </w:r>
      <w:r w:rsidRPr="00F10029">
        <w:rPr>
          <w:rFonts w:ascii="Times New Roman" w:hAnsi="Times New Roman" w:cs="Times New Roman"/>
          <w:sz w:val="24"/>
          <w:szCs w:val="24"/>
          <w:lang w:val="id-ID"/>
        </w:rPr>
        <w:fldChar w:fldCharType="end"/>
      </w:r>
      <w:r w:rsidRPr="00F10029">
        <w:rPr>
          <w:rFonts w:ascii="Times New Roman" w:hAnsi="Times New Roman" w:cs="Times New Roman"/>
          <w:sz w:val="24"/>
          <w:szCs w:val="24"/>
          <w:lang w:val="id-ID"/>
        </w:rPr>
        <w:t xml:space="preserve">Key challenges include the lack of </w:t>
      </w:r>
      <w:r w:rsidRPr="00F10029">
        <w:rPr>
          <w:rFonts w:ascii="Times New Roman" w:hAnsi="Times New Roman" w:cs="Times New Roman"/>
          <w:sz w:val="24"/>
          <w:szCs w:val="24"/>
          <w:lang w:val="id-ID"/>
        </w:rPr>
        <w:lastRenderedPageBreak/>
        <w:t xml:space="preserve">standardization in Sharia-compliant financial instruments, limited public awareness, and the need for capacity-building in human resources within Islamic finance. Addressing these challenges requires collaborative efforts among regulatory bodies, financial institutions, and scholars to ensure sustainable growth and wider acceptance of Islamic economic principles. </w:t>
      </w:r>
      <w:r w:rsidRPr="00F10029">
        <w:rPr>
          <w:rFonts w:ascii="Times New Roman" w:hAnsi="Times New Roman" w:cs="Times New Roman"/>
          <w:sz w:val="24"/>
          <w:szCs w:val="24"/>
          <w:lang w:val="id-ID"/>
        </w:rPr>
        <w:fldChar w:fldCharType="begin" w:fldLock="1"/>
      </w:r>
      <w:r w:rsidRPr="00F10029">
        <w:rPr>
          <w:rFonts w:ascii="Times New Roman" w:hAnsi="Times New Roman" w:cs="Times New Roman"/>
          <w:sz w:val="24"/>
          <w:szCs w:val="24"/>
          <w:lang w:val="id-ID"/>
        </w:rPr>
        <w:instrText>ADDIN CSL_CITATION {"citationItems":[{"id":"ITEM-1","itemData":{"DOI":"10.18326/muqtasid.v4i2.287-310","ISSN":"2087-7013","abstract":"Economic development of a country cannot be separated from the capital market. Capital market serves as a means to mobilize public funds and to search the ownership of shares of a company by selling it. Islamic capital market serves as an investment medium for Muslims in the capital market that is in line with Islamic principles. Some criteria for the establishment of the Islamic capital market are forming price fairly, the presence of perfect information, free from riba, gharar, gambling and other transactions that contradict against sharia rules. Stocks traded in the Islamic capital market should come from issuers that meet the Islamic criteria and bonds issued should use mudarabah, musharaka, ijara, istisna' and salam.","author":[{"dropping-particle":"","family":"Faozan","given":"Akhmad","non-dropping-particle":"","parse-names":false,"suffix":""}],"container-title":"Muqtasid: Jurnal Ekonomi dan Perbankan Syariah","id":"ITEM-1","issue":"2","issued":{"date-parts":[["2013"]]},"page":"287","title":"Konsep Pasar Modal Syariah","type":"article-journal","volume":"4"},"uris":["http://www.mendeley.com/documents/?uuid=e16d58e4-e75d-4d0a-b850-2947733845b9"]}],"mendeley":{"formattedCitation":"(Faozan, 2013)","plainTextFormattedCitation":"(Faozan, 2013)","previouslyFormattedCitation":"(Faozan, 2013)"},"properties":{"noteIndex":0},"schema":"https://github.com/citation-style-language/schema/raw/master/csl-citation.json"}</w:instrText>
      </w:r>
      <w:r w:rsidRPr="00F10029">
        <w:rPr>
          <w:rFonts w:ascii="Times New Roman" w:hAnsi="Times New Roman" w:cs="Times New Roman"/>
          <w:sz w:val="24"/>
          <w:szCs w:val="24"/>
          <w:lang w:val="id-ID"/>
        </w:rPr>
        <w:fldChar w:fldCharType="separate"/>
      </w:r>
      <w:r w:rsidRPr="00F10029">
        <w:rPr>
          <w:rFonts w:ascii="Times New Roman" w:hAnsi="Times New Roman" w:cs="Times New Roman"/>
          <w:noProof/>
          <w:sz w:val="24"/>
          <w:szCs w:val="24"/>
          <w:lang w:val="id-ID"/>
        </w:rPr>
        <w:t>(</w:t>
      </w:r>
      <w:hyperlink w:anchor="Faozan2013" w:history="1">
        <w:r w:rsidRPr="00F10029">
          <w:rPr>
            <w:rStyle w:val="Hyperlink"/>
            <w:rFonts w:ascii="Times New Roman" w:hAnsi="Times New Roman" w:cs="Times New Roman"/>
            <w:noProof/>
            <w:sz w:val="24"/>
            <w:szCs w:val="24"/>
            <w:u w:val="none"/>
            <w:lang w:val="id-ID"/>
          </w:rPr>
          <w:t>Faozan, 2013</w:t>
        </w:r>
      </w:hyperlink>
      <w:r w:rsidRPr="00F10029">
        <w:rPr>
          <w:rFonts w:ascii="Times New Roman" w:hAnsi="Times New Roman" w:cs="Times New Roman"/>
          <w:noProof/>
          <w:sz w:val="24"/>
          <w:szCs w:val="24"/>
          <w:lang w:val="id-ID"/>
        </w:rPr>
        <w:t>)</w:t>
      </w:r>
      <w:r w:rsidRPr="00F10029">
        <w:rPr>
          <w:rFonts w:ascii="Times New Roman" w:hAnsi="Times New Roman" w:cs="Times New Roman"/>
          <w:sz w:val="24"/>
          <w:szCs w:val="24"/>
          <w:lang w:val="id-ID"/>
        </w:rPr>
        <w:fldChar w:fldCharType="end"/>
      </w:r>
    </w:p>
    <w:p w14:paraId="3EC4B8CE" w14:textId="77777777" w:rsidR="00715AB5" w:rsidRPr="00F10029" w:rsidRDefault="00715AB5" w:rsidP="00715AB5">
      <w:pPr>
        <w:spacing w:after="0" w:line="240" w:lineRule="auto"/>
        <w:ind w:left="900"/>
        <w:jc w:val="both"/>
        <w:rPr>
          <w:rFonts w:ascii="Times New Roman" w:hAnsi="Times New Roman" w:cs="Times New Roman"/>
          <w:sz w:val="24"/>
          <w:szCs w:val="24"/>
          <w:lang w:val="id-ID"/>
        </w:rPr>
      </w:pPr>
    </w:p>
    <w:p w14:paraId="1BF282E4" w14:textId="127F908F" w:rsidR="00715AB5" w:rsidRPr="00F10029" w:rsidRDefault="00715AB5" w:rsidP="00536957">
      <w:pPr>
        <w:spacing w:after="0" w:line="240" w:lineRule="auto"/>
        <w:rPr>
          <w:rFonts w:ascii="Times New Roman" w:hAnsi="Times New Roman" w:cs="Times New Roman"/>
          <w:i/>
          <w:iCs/>
          <w:sz w:val="24"/>
          <w:szCs w:val="24"/>
          <w:lang w:val="id-ID"/>
        </w:rPr>
      </w:pPr>
      <w:r w:rsidRPr="00F10029">
        <w:rPr>
          <w:rFonts w:ascii="Times New Roman" w:hAnsi="Times New Roman" w:cs="Times New Roman"/>
          <w:i/>
          <w:iCs/>
          <w:sz w:val="24"/>
          <w:szCs w:val="24"/>
          <w:lang w:val="id-ID"/>
        </w:rPr>
        <w:t xml:space="preserve">Investment in Islamic </w:t>
      </w:r>
      <w:r w:rsidR="006E30D4" w:rsidRPr="00F10029">
        <w:rPr>
          <w:rFonts w:ascii="Times New Roman" w:hAnsi="Times New Roman" w:cs="Times New Roman"/>
          <w:i/>
          <w:iCs/>
          <w:sz w:val="24"/>
          <w:szCs w:val="24"/>
          <w:lang w:val="id-ID"/>
        </w:rPr>
        <w:t>p</w:t>
      </w:r>
      <w:r w:rsidRPr="00F10029">
        <w:rPr>
          <w:rFonts w:ascii="Times New Roman" w:hAnsi="Times New Roman" w:cs="Times New Roman"/>
          <w:i/>
          <w:iCs/>
          <w:sz w:val="24"/>
          <w:szCs w:val="24"/>
          <w:lang w:val="id-ID"/>
        </w:rPr>
        <w:t xml:space="preserve">erspective </w:t>
      </w:r>
    </w:p>
    <w:p w14:paraId="420B0044" w14:textId="77777777" w:rsidR="00536957" w:rsidRPr="00F10029" w:rsidRDefault="00715AB5" w:rsidP="00536957">
      <w:pPr>
        <w:spacing w:after="0" w:line="240" w:lineRule="auto"/>
        <w:jc w:val="both"/>
        <w:rPr>
          <w:rFonts w:ascii="Times New Roman" w:hAnsi="Times New Roman" w:cs="Times New Roman"/>
          <w:sz w:val="24"/>
          <w:szCs w:val="24"/>
        </w:rPr>
      </w:pPr>
      <w:r w:rsidRPr="00F10029">
        <w:rPr>
          <w:rFonts w:ascii="Times New Roman" w:hAnsi="Times New Roman" w:cs="Times New Roman"/>
          <w:sz w:val="24"/>
          <w:szCs w:val="24"/>
        </w:rPr>
        <w:t xml:space="preserve">Islamic investment, or shariah-compliant investment, is grounded in Islamic principles, focusing on ethical financial practices alongside profitability. Key principles include the prohibition of riba (interest), which is seen as exploitative; </w:t>
      </w:r>
      <w:r w:rsidRPr="00F10029">
        <w:rPr>
          <w:rFonts w:ascii="Times New Roman" w:hAnsi="Times New Roman" w:cs="Times New Roman"/>
          <w:i/>
          <w:iCs/>
          <w:sz w:val="24"/>
          <w:szCs w:val="24"/>
        </w:rPr>
        <w:t>gharar</w:t>
      </w:r>
      <w:r w:rsidRPr="00F10029">
        <w:rPr>
          <w:rFonts w:ascii="Times New Roman" w:hAnsi="Times New Roman" w:cs="Times New Roman"/>
          <w:sz w:val="24"/>
          <w:szCs w:val="24"/>
        </w:rPr>
        <w:t xml:space="preserve"> (uncertainty), which ensures transparency in transactions; and </w:t>
      </w:r>
      <w:r w:rsidRPr="00F10029">
        <w:rPr>
          <w:rFonts w:ascii="Times New Roman" w:hAnsi="Times New Roman" w:cs="Times New Roman"/>
          <w:i/>
          <w:iCs/>
          <w:sz w:val="24"/>
          <w:szCs w:val="24"/>
        </w:rPr>
        <w:t>maysir</w:t>
      </w:r>
      <w:r w:rsidRPr="00F10029">
        <w:rPr>
          <w:rFonts w:ascii="Times New Roman" w:hAnsi="Times New Roman" w:cs="Times New Roman"/>
          <w:sz w:val="24"/>
          <w:szCs w:val="24"/>
        </w:rPr>
        <w:t xml:space="preserve"> (gambling), which avoids speculative investments. Investments should be based on real, tangible assets rather than speculative or harmful activities, adhering to what is </w:t>
      </w:r>
      <w:r w:rsidRPr="00F10029">
        <w:rPr>
          <w:rFonts w:ascii="Times New Roman" w:hAnsi="Times New Roman" w:cs="Times New Roman"/>
          <w:i/>
          <w:iCs/>
          <w:sz w:val="24"/>
          <w:szCs w:val="24"/>
        </w:rPr>
        <w:t xml:space="preserve">halal </w:t>
      </w:r>
      <w:r w:rsidRPr="00F10029">
        <w:rPr>
          <w:rFonts w:ascii="Times New Roman" w:hAnsi="Times New Roman" w:cs="Times New Roman"/>
          <w:sz w:val="24"/>
          <w:szCs w:val="24"/>
        </w:rPr>
        <w:t xml:space="preserve">(permissible) and avoiding </w:t>
      </w:r>
      <w:r w:rsidRPr="00F10029">
        <w:rPr>
          <w:rFonts w:ascii="Times New Roman" w:hAnsi="Times New Roman" w:cs="Times New Roman"/>
          <w:i/>
          <w:iCs/>
          <w:sz w:val="24"/>
          <w:szCs w:val="24"/>
        </w:rPr>
        <w:t>haram</w:t>
      </w:r>
      <w:r w:rsidRPr="00F10029">
        <w:rPr>
          <w:rFonts w:ascii="Times New Roman" w:hAnsi="Times New Roman" w:cs="Times New Roman"/>
          <w:sz w:val="24"/>
          <w:szCs w:val="24"/>
        </w:rPr>
        <w:t xml:space="preserve"> (forbidden) industries like alcohol and gambling</w:t>
      </w:r>
      <w:r w:rsidRPr="00F10029">
        <w:rPr>
          <w:rFonts w:ascii="Times New Roman" w:hAnsi="Times New Roman" w:cs="Times New Roman"/>
          <w:sz w:val="24"/>
          <w:szCs w:val="24"/>
          <w:lang w:val="id-ID"/>
        </w:rPr>
        <w:t>.</w:t>
      </w:r>
    </w:p>
    <w:p w14:paraId="6B8EC1D2" w14:textId="308038AD" w:rsidR="00715AB5" w:rsidRPr="00F10029" w:rsidRDefault="00715AB5" w:rsidP="00536957">
      <w:pPr>
        <w:spacing w:after="0" w:line="240" w:lineRule="auto"/>
        <w:ind w:firstLine="567"/>
        <w:jc w:val="both"/>
        <w:rPr>
          <w:rFonts w:ascii="Times New Roman" w:hAnsi="Times New Roman" w:cs="Times New Roman"/>
          <w:sz w:val="24"/>
          <w:szCs w:val="24"/>
        </w:rPr>
      </w:pPr>
      <w:r w:rsidRPr="00F10029">
        <w:rPr>
          <w:rFonts w:ascii="Times New Roman" w:hAnsi="Times New Roman" w:cs="Times New Roman"/>
          <w:sz w:val="24"/>
          <w:szCs w:val="24"/>
        </w:rPr>
        <w:t>In Indonesia, the Shariah capital market is regulated by the National Shariah Board (DSN-MUI), which ensures that financial instruments like Shariah-compliant stocks, Sukuk (Islamic bonds), and Shariah mutual funds meet Islamic standards. These investments undergo qualitative and quantitative screening, such as limiting the debt-to-equity ratio and ensuring non-halal income is minimal</w:t>
      </w:r>
      <w:r w:rsidRPr="00F10029">
        <w:rPr>
          <w:rFonts w:ascii="Times New Roman" w:hAnsi="Times New Roman" w:cs="Times New Roman"/>
          <w:sz w:val="24"/>
          <w:szCs w:val="24"/>
          <w:lang w:val="id-ID"/>
        </w:rPr>
        <w:t xml:space="preserve"> </w:t>
      </w:r>
      <w:r w:rsidRPr="00F10029">
        <w:rPr>
          <w:rFonts w:ascii="Times New Roman" w:hAnsi="Times New Roman" w:cs="Times New Roman"/>
          <w:sz w:val="24"/>
          <w:szCs w:val="24"/>
          <w:lang w:val="id-ID"/>
        </w:rPr>
        <w:fldChar w:fldCharType="begin" w:fldLock="1"/>
      </w:r>
      <w:r w:rsidRPr="00F10029">
        <w:rPr>
          <w:rFonts w:ascii="Times New Roman" w:hAnsi="Times New Roman" w:cs="Times New Roman"/>
          <w:sz w:val="24"/>
          <w:szCs w:val="24"/>
          <w:lang w:val="id-ID"/>
        </w:rPr>
        <w:instrText>ADDIN CSL_CITATION {"citationItems":[{"id":"ITEM-1","itemData":{"DOI":"10.21043/equilibrium.v10i2.16457","ISSN":"2355-0228","abstract":"&lt;p&gt;&lt;em&gt;Covid-19 has caused problems, including the global Islamic capital market. The rapid and extraordinary development of Covid-19 has rocked sharia investment in Indonesia. This study looks at the interaction of the global Islamic stock market with the Indonesian Islamic stock market, namely the Jakarta Islamic Index (JII), in the Covid-19 shock. Data is collected from within the global Islamic capital market sourced from the Dow Jones Islamic Market World Index, and the Indonesian Islamic capital market is sourced from the Indonesia Stock Exchange (IDX). They are generalizing the research period carried out during the covid-19 period starting from March 2020 to November 2022. This research used several stages of the Cointegration Test, Granger Causality Test, IRF (Impulse Response Function) Test and Forecasting Error Variance Decomposition (FEVD) Test. The study results show that the global Islamic stock market has had a significant impact on the Indonesian Islamic stock market both in the short and long term in the era of the covid-19 shock.&lt;/em&gt;&lt;/p&gt;","author":[{"dropping-particle":"","family":"Habibi","given":"Ahmad","non-dropping-particle":"","parse-names":false,"suffix":""},{"dropping-particle":"","family":"Normasyhuri","given":"Khavid","non-dropping-particle":"","parse-names":false,"suffix":""},{"dropping-particle":"","family":"Anggraeni","given":"Erike","non-dropping-particle":"","parse-names":false,"suffix":""}],"container-title":"Equilibrium: Jurnal Ekonomi Syariah","id":"ITEM-1","issue":"2","issued":{"date-parts":[["2022"]]},"page":"381","title":"The Indonesian Sharia Capital Market in Shock Covid-19: Global Market Interaction","type":"article-journal","volume":"10"},"uris":["http://www.mendeley.com/documents/?uuid=3e2c302a-6adf-4c51-964f-e50e0bdae51f"]}],"mendeley":{"formattedCitation":"(Habibi et al., 2022)","plainTextFormattedCitation":"(Habibi et al., 2022)","previouslyFormattedCitation":"(Habibi et al., 2022)"},"properties":{"noteIndex":0},"schema":"https://github.com/citation-style-language/schema/raw/master/csl-citation.json"}</w:instrText>
      </w:r>
      <w:r w:rsidRPr="00F10029">
        <w:rPr>
          <w:rFonts w:ascii="Times New Roman" w:hAnsi="Times New Roman" w:cs="Times New Roman"/>
          <w:sz w:val="24"/>
          <w:szCs w:val="24"/>
          <w:lang w:val="id-ID"/>
        </w:rPr>
        <w:fldChar w:fldCharType="separate"/>
      </w:r>
      <w:r w:rsidRPr="00F10029">
        <w:rPr>
          <w:rFonts w:ascii="Times New Roman" w:hAnsi="Times New Roman" w:cs="Times New Roman"/>
          <w:noProof/>
          <w:sz w:val="24"/>
          <w:szCs w:val="24"/>
          <w:lang w:val="id-ID"/>
        </w:rPr>
        <w:t>(</w:t>
      </w:r>
      <w:hyperlink w:anchor="Habibi2022" w:history="1">
        <w:r w:rsidRPr="00F10029">
          <w:rPr>
            <w:rStyle w:val="Hyperlink"/>
            <w:rFonts w:ascii="Times New Roman" w:hAnsi="Times New Roman" w:cs="Times New Roman"/>
            <w:noProof/>
            <w:sz w:val="24"/>
            <w:szCs w:val="24"/>
            <w:u w:val="none"/>
            <w:lang w:val="id-ID"/>
          </w:rPr>
          <w:t>Habibi et al., 2022</w:t>
        </w:r>
      </w:hyperlink>
      <w:r w:rsidRPr="00F10029">
        <w:rPr>
          <w:rFonts w:ascii="Times New Roman" w:hAnsi="Times New Roman" w:cs="Times New Roman"/>
          <w:noProof/>
          <w:sz w:val="24"/>
          <w:szCs w:val="24"/>
          <w:lang w:val="id-ID"/>
        </w:rPr>
        <w:t>)</w:t>
      </w:r>
      <w:r w:rsidRPr="00F10029">
        <w:rPr>
          <w:rFonts w:ascii="Times New Roman" w:hAnsi="Times New Roman" w:cs="Times New Roman"/>
          <w:sz w:val="24"/>
          <w:szCs w:val="24"/>
          <w:lang w:val="id-ID"/>
        </w:rPr>
        <w:fldChar w:fldCharType="end"/>
      </w:r>
      <w:r w:rsidRPr="00F10029">
        <w:rPr>
          <w:rFonts w:ascii="Times New Roman" w:hAnsi="Times New Roman" w:cs="Times New Roman"/>
          <w:sz w:val="24"/>
          <w:szCs w:val="24"/>
        </w:rPr>
        <w:t>.</w:t>
      </w:r>
      <w:r w:rsidRPr="00F10029">
        <w:rPr>
          <w:rFonts w:ascii="Times New Roman" w:hAnsi="Times New Roman" w:cs="Times New Roman"/>
          <w:sz w:val="24"/>
          <w:szCs w:val="24"/>
          <w:lang w:val="id-ID"/>
        </w:rPr>
        <w:t xml:space="preserve"> </w:t>
      </w:r>
      <w:r w:rsidRPr="00F10029">
        <w:rPr>
          <w:rFonts w:ascii="Times New Roman" w:hAnsi="Times New Roman" w:cs="Times New Roman"/>
          <w:sz w:val="24"/>
          <w:szCs w:val="24"/>
        </w:rPr>
        <w:t xml:space="preserve">Shariah-compliant investments are considered more efficient and resilient in the long run compared to conventional investments. While there are challenges, including limited awareness, the growth of the Shariah market demonstrates its potential for ethical financial growth. By educating investors about the benefits of shariah-compliant investments and aligning with maqasid shariah (objectives of Islamic law), these investments offer a sustainable and inclusive alternative to traditional financial markets </w:t>
      </w:r>
      <w:r w:rsidRPr="00F10029">
        <w:rPr>
          <w:rFonts w:ascii="Times New Roman" w:hAnsi="Times New Roman" w:cs="Times New Roman"/>
          <w:sz w:val="24"/>
          <w:szCs w:val="24"/>
        </w:rPr>
        <w:fldChar w:fldCharType="begin" w:fldLock="1"/>
      </w:r>
      <w:r w:rsidRPr="00F10029">
        <w:rPr>
          <w:rFonts w:ascii="Times New Roman" w:hAnsi="Times New Roman" w:cs="Times New Roman"/>
          <w:sz w:val="24"/>
          <w:szCs w:val="24"/>
        </w:rPr>
        <w:instrText>ADDIN CSL_CITATION {"citationItems":[{"id":"ITEM-1","itemData":{"DOI":"10.1016/j.jcorpfin.2018.11.008","ISSN":"09291199","author":[{"dropping-particle":"","family":"Alzahrani","given":"Mohammed","non-dropping-particle":"","parse-names":false,"suffix":""}],"container-title":"Journal of Corporate Finance","id":"ITEM-1","issue":"December 2018","issued":{"date-parts":[["2019"]]},"page":"1-5","title":"Islamic corporate finance, financial markets, and institutions: An overview","type":"article-journal","volume":"55"},"uris":["http://www.mendeley.com/documents/?uuid=2885f87a-8c3b-41d3-994c-853c130cea90"]}],"mendeley":{"formattedCitation":"(Alzahrani, 2019)","plainTextFormattedCitation":"(Alzahrani, 2019)","previouslyFormattedCitation":"(Alzahrani, 2019)"},"properties":{"noteIndex":0},"schema":"https://github.com/citation-style-language/schema/raw/master/csl-citation.json"}</w:instrText>
      </w:r>
      <w:r w:rsidRPr="00F10029">
        <w:rPr>
          <w:rFonts w:ascii="Times New Roman" w:hAnsi="Times New Roman" w:cs="Times New Roman"/>
          <w:sz w:val="24"/>
          <w:szCs w:val="24"/>
        </w:rPr>
        <w:fldChar w:fldCharType="separate"/>
      </w:r>
      <w:r w:rsidRPr="00F10029">
        <w:rPr>
          <w:rFonts w:ascii="Times New Roman" w:hAnsi="Times New Roman" w:cs="Times New Roman"/>
          <w:noProof/>
          <w:sz w:val="24"/>
          <w:szCs w:val="24"/>
        </w:rPr>
        <w:t>(</w:t>
      </w:r>
      <w:hyperlink w:anchor="Alzahrani2019" w:history="1">
        <w:r w:rsidRPr="00F10029">
          <w:rPr>
            <w:rStyle w:val="Hyperlink"/>
            <w:rFonts w:ascii="Times New Roman" w:hAnsi="Times New Roman" w:cs="Times New Roman"/>
            <w:noProof/>
            <w:sz w:val="24"/>
            <w:szCs w:val="24"/>
            <w:u w:val="none"/>
          </w:rPr>
          <w:t>Alzahrani, 2019</w:t>
        </w:r>
      </w:hyperlink>
      <w:r w:rsidRPr="00F10029">
        <w:rPr>
          <w:rFonts w:ascii="Times New Roman" w:hAnsi="Times New Roman" w:cs="Times New Roman"/>
          <w:noProof/>
          <w:sz w:val="24"/>
          <w:szCs w:val="24"/>
        </w:rPr>
        <w:t>)</w:t>
      </w:r>
      <w:r w:rsidRPr="00F10029">
        <w:rPr>
          <w:rFonts w:ascii="Times New Roman" w:hAnsi="Times New Roman" w:cs="Times New Roman"/>
          <w:sz w:val="24"/>
          <w:szCs w:val="24"/>
        </w:rPr>
        <w:fldChar w:fldCharType="end"/>
      </w:r>
      <w:r w:rsidRPr="00F10029">
        <w:rPr>
          <w:rFonts w:ascii="Times New Roman" w:hAnsi="Times New Roman" w:cs="Times New Roman"/>
          <w:sz w:val="24"/>
          <w:szCs w:val="24"/>
        </w:rPr>
        <w:t>.</w:t>
      </w:r>
    </w:p>
    <w:p w14:paraId="5EAE91AB" w14:textId="77777777" w:rsidR="00715AB5" w:rsidRPr="00F10029" w:rsidRDefault="00715AB5" w:rsidP="00715AB5">
      <w:pPr>
        <w:spacing w:after="0" w:line="240" w:lineRule="auto"/>
        <w:ind w:left="900"/>
        <w:rPr>
          <w:rFonts w:ascii="Times New Roman" w:hAnsi="Times New Roman" w:cs="Times New Roman"/>
          <w:b/>
          <w:bCs/>
          <w:sz w:val="24"/>
          <w:szCs w:val="24"/>
          <w:lang w:val="id-ID"/>
        </w:rPr>
      </w:pPr>
      <w:r w:rsidRPr="00F10029">
        <w:rPr>
          <w:rFonts w:ascii="Times New Roman" w:hAnsi="Times New Roman" w:cs="Times New Roman"/>
          <w:i/>
          <w:iCs/>
          <w:sz w:val="24"/>
          <w:szCs w:val="24"/>
          <w:lang w:val="id-ID"/>
        </w:rPr>
        <w:tab/>
      </w:r>
      <w:r w:rsidRPr="00F10029">
        <w:rPr>
          <w:rFonts w:ascii="Times New Roman" w:hAnsi="Times New Roman" w:cs="Times New Roman"/>
          <w:b/>
          <w:bCs/>
          <w:sz w:val="24"/>
          <w:szCs w:val="24"/>
          <w:lang w:val="id-ID"/>
        </w:rPr>
        <w:tab/>
      </w:r>
    </w:p>
    <w:p w14:paraId="6A173B0A" w14:textId="2347AEA9" w:rsidR="00715AB5" w:rsidRPr="00F10029" w:rsidRDefault="00715AB5" w:rsidP="006E30D4">
      <w:pPr>
        <w:spacing w:after="0" w:line="240" w:lineRule="auto"/>
        <w:rPr>
          <w:rFonts w:ascii="Times New Roman" w:hAnsi="Times New Roman" w:cs="Times New Roman"/>
          <w:i/>
          <w:iCs/>
          <w:sz w:val="24"/>
          <w:szCs w:val="24"/>
        </w:rPr>
      </w:pPr>
      <w:r w:rsidRPr="00F10029">
        <w:rPr>
          <w:rFonts w:ascii="Times New Roman" w:hAnsi="Times New Roman" w:cs="Times New Roman"/>
          <w:i/>
          <w:iCs/>
          <w:sz w:val="24"/>
          <w:szCs w:val="24"/>
        </w:rPr>
        <w:t xml:space="preserve">Capital </w:t>
      </w:r>
      <w:r w:rsidR="006E30D4" w:rsidRPr="00F10029">
        <w:rPr>
          <w:rFonts w:ascii="Times New Roman" w:hAnsi="Times New Roman" w:cs="Times New Roman"/>
          <w:i/>
          <w:iCs/>
          <w:sz w:val="24"/>
          <w:szCs w:val="24"/>
        </w:rPr>
        <w:t>m</w:t>
      </w:r>
      <w:r w:rsidRPr="00F10029">
        <w:rPr>
          <w:rFonts w:ascii="Times New Roman" w:hAnsi="Times New Roman" w:cs="Times New Roman"/>
          <w:i/>
          <w:iCs/>
          <w:sz w:val="24"/>
          <w:szCs w:val="24"/>
        </w:rPr>
        <w:t>arket in Indonesia</w:t>
      </w:r>
    </w:p>
    <w:p w14:paraId="1840DA62" w14:textId="02892BC7" w:rsidR="00715AB5" w:rsidRPr="00F10029" w:rsidRDefault="00715AB5" w:rsidP="006E30D4">
      <w:pPr>
        <w:spacing w:after="0" w:line="240" w:lineRule="auto"/>
        <w:jc w:val="both"/>
        <w:rPr>
          <w:rFonts w:ascii="Times New Roman" w:hAnsi="Times New Roman" w:cs="Times New Roman"/>
          <w:sz w:val="24"/>
          <w:szCs w:val="24"/>
          <w:lang w:val="id-ID"/>
        </w:rPr>
      </w:pPr>
      <w:r w:rsidRPr="00F10029">
        <w:rPr>
          <w:rFonts w:ascii="Times New Roman" w:hAnsi="Times New Roman" w:cs="Times New Roman"/>
          <w:sz w:val="24"/>
          <w:szCs w:val="24"/>
        </w:rPr>
        <w:t xml:space="preserve">The Indonesian capital market is regulated in the Law of the Republic of Indonesia Number 8 of 1995 concerning the capital market. In the Law of the Republic of Indonesia Number 8 of 1995, it is stated that the capital market has a strategic role in national development as a source of financing for the business world and a vehicle for investment for the community. The capital market plays an essential role in the Indonesian economy. The contribution of the capital market to the Indonesian national economy reaches 48-50 percent </w:t>
      </w:r>
      <w:r w:rsidRPr="00F10029">
        <w:rPr>
          <w:rFonts w:ascii="Times New Roman" w:hAnsi="Times New Roman" w:cs="Times New Roman"/>
          <w:sz w:val="24"/>
          <w:szCs w:val="24"/>
          <w:lang w:val="id-ID"/>
        </w:rPr>
        <w:fldChar w:fldCharType="begin" w:fldLock="1"/>
      </w:r>
      <w:r w:rsidRPr="00F10029">
        <w:rPr>
          <w:rFonts w:ascii="Times New Roman" w:hAnsi="Times New Roman" w:cs="Times New Roman"/>
          <w:sz w:val="24"/>
          <w:szCs w:val="24"/>
          <w:lang w:val="id-ID"/>
        </w:rPr>
        <w:instrText>ADDIN CSL_CITATION {"citationItems":[{"id":"ITEM-1","itemData":{"author":[{"dropping-particle":"","family":"Melani","given":"Agustina","non-dropping-particle":"","parse-names":false,"suffix":""}],"id":"ITEM-1","issued":{"date-parts":[["2021"]]},"title":"Peluang Besar Kontribusi Pasar Modal terhadap Ekonomi RI","type":"webpage"},"uris":["http://www.mendeley.com/documents/?uuid=7c502b1f-ca54-4e56-9cc3-a84c662f7593","http://www.mendeley.com/documents/?uuid=8dc51c20-4203-4d54-ae0e-1327ca116a1a"]}],"mendeley":{"formattedCitation":"(Melani, 2021)","plainTextFormattedCitation":"(Melani, 2021)","previouslyFormattedCitation":"(Melani, 2021)"},"properties":{"noteIndex":0},"schema":"https://github.com/citation-style-language/schema/raw/master/csl-citation.json"}</w:instrText>
      </w:r>
      <w:r w:rsidRPr="00F10029">
        <w:rPr>
          <w:rFonts w:ascii="Times New Roman" w:hAnsi="Times New Roman" w:cs="Times New Roman"/>
          <w:sz w:val="24"/>
          <w:szCs w:val="24"/>
          <w:lang w:val="id-ID"/>
        </w:rPr>
        <w:fldChar w:fldCharType="separate"/>
      </w:r>
      <w:r w:rsidRPr="00F10029">
        <w:rPr>
          <w:rFonts w:ascii="Times New Roman" w:hAnsi="Times New Roman" w:cs="Times New Roman"/>
          <w:noProof/>
          <w:sz w:val="24"/>
          <w:szCs w:val="24"/>
          <w:lang w:val="id-ID"/>
        </w:rPr>
        <w:t>(</w:t>
      </w:r>
      <w:hyperlink w:anchor="Melani2021" w:history="1">
        <w:r w:rsidRPr="00F10029">
          <w:rPr>
            <w:rStyle w:val="Hyperlink"/>
            <w:rFonts w:ascii="Times New Roman" w:hAnsi="Times New Roman" w:cs="Times New Roman"/>
            <w:noProof/>
            <w:sz w:val="24"/>
            <w:szCs w:val="24"/>
            <w:u w:val="none"/>
            <w:lang w:val="id-ID"/>
          </w:rPr>
          <w:t>Melani, 2021</w:t>
        </w:r>
      </w:hyperlink>
      <w:r w:rsidRPr="00F10029">
        <w:rPr>
          <w:rFonts w:ascii="Times New Roman" w:hAnsi="Times New Roman" w:cs="Times New Roman"/>
          <w:noProof/>
          <w:sz w:val="24"/>
          <w:szCs w:val="24"/>
          <w:lang w:val="id-ID"/>
        </w:rPr>
        <w:t>)</w:t>
      </w:r>
      <w:r w:rsidRPr="00F10029">
        <w:rPr>
          <w:rFonts w:ascii="Times New Roman" w:hAnsi="Times New Roman" w:cs="Times New Roman"/>
          <w:sz w:val="24"/>
          <w:szCs w:val="24"/>
        </w:rPr>
        <w:fldChar w:fldCharType="end"/>
      </w:r>
      <w:r w:rsidRPr="00F10029">
        <w:rPr>
          <w:rFonts w:ascii="Times New Roman" w:hAnsi="Times New Roman" w:cs="Times New Roman"/>
          <w:sz w:val="24"/>
          <w:szCs w:val="24"/>
          <w:lang w:val="id-ID"/>
        </w:rPr>
        <w:t>.</w:t>
      </w:r>
    </w:p>
    <w:p w14:paraId="0B069CB9" w14:textId="77777777" w:rsidR="00715AB5" w:rsidRPr="00F10029" w:rsidRDefault="00715AB5" w:rsidP="00715AB5">
      <w:pPr>
        <w:spacing w:after="0" w:line="240" w:lineRule="auto"/>
        <w:ind w:left="900"/>
        <w:jc w:val="both"/>
        <w:rPr>
          <w:rFonts w:ascii="Times New Roman" w:hAnsi="Times New Roman" w:cs="Times New Roman"/>
          <w:i/>
          <w:iCs/>
          <w:sz w:val="24"/>
          <w:szCs w:val="24"/>
        </w:rPr>
      </w:pPr>
    </w:p>
    <w:p w14:paraId="17B724C0" w14:textId="4E5C1467" w:rsidR="00715AB5" w:rsidRPr="00F10029" w:rsidRDefault="00715AB5" w:rsidP="006E30D4">
      <w:pPr>
        <w:spacing w:after="0" w:line="240" w:lineRule="auto"/>
        <w:jc w:val="both"/>
        <w:rPr>
          <w:rFonts w:ascii="Times New Roman" w:hAnsi="Times New Roman" w:cs="Times New Roman"/>
          <w:i/>
          <w:iCs/>
          <w:sz w:val="24"/>
          <w:szCs w:val="24"/>
        </w:rPr>
      </w:pPr>
      <w:r w:rsidRPr="00F10029">
        <w:rPr>
          <w:rFonts w:ascii="Times New Roman" w:hAnsi="Times New Roman" w:cs="Times New Roman"/>
          <w:i/>
          <w:iCs/>
          <w:sz w:val="24"/>
          <w:szCs w:val="24"/>
        </w:rPr>
        <w:t xml:space="preserve">The </w:t>
      </w:r>
      <w:r w:rsidR="00910473" w:rsidRPr="00F10029">
        <w:rPr>
          <w:rFonts w:ascii="Times New Roman" w:hAnsi="Times New Roman" w:cs="Times New Roman"/>
          <w:i/>
          <w:iCs/>
          <w:sz w:val="24"/>
          <w:szCs w:val="24"/>
        </w:rPr>
        <w:t>c</w:t>
      </w:r>
      <w:r w:rsidRPr="00F10029">
        <w:rPr>
          <w:rFonts w:ascii="Times New Roman" w:hAnsi="Times New Roman" w:cs="Times New Roman"/>
          <w:i/>
          <w:iCs/>
          <w:sz w:val="24"/>
          <w:szCs w:val="24"/>
        </w:rPr>
        <w:t xml:space="preserve">omposite </w:t>
      </w:r>
      <w:r w:rsidR="00910473" w:rsidRPr="00F10029">
        <w:rPr>
          <w:rFonts w:ascii="Times New Roman" w:hAnsi="Times New Roman" w:cs="Times New Roman"/>
          <w:i/>
          <w:iCs/>
          <w:sz w:val="24"/>
          <w:szCs w:val="24"/>
        </w:rPr>
        <w:t>s</w:t>
      </w:r>
      <w:r w:rsidRPr="00F10029">
        <w:rPr>
          <w:rFonts w:ascii="Times New Roman" w:hAnsi="Times New Roman" w:cs="Times New Roman"/>
          <w:i/>
          <w:iCs/>
          <w:sz w:val="24"/>
          <w:szCs w:val="24"/>
        </w:rPr>
        <w:t xml:space="preserve">tock </w:t>
      </w:r>
      <w:r w:rsidR="00910473" w:rsidRPr="00F10029">
        <w:rPr>
          <w:rFonts w:ascii="Times New Roman" w:hAnsi="Times New Roman" w:cs="Times New Roman"/>
          <w:i/>
          <w:iCs/>
          <w:sz w:val="24"/>
          <w:szCs w:val="24"/>
        </w:rPr>
        <w:t>p</w:t>
      </w:r>
      <w:r w:rsidRPr="00F10029">
        <w:rPr>
          <w:rFonts w:ascii="Times New Roman" w:hAnsi="Times New Roman" w:cs="Times New Roman"/>
          <w:i/>
          <w:iCs/>
          <w:sz w:val="24"/>
          <w:szCs w:val="24"/>
        </w:rPr>
        <w:t xml:space="preserve">rice </w:t>
      </w:r>
      <w:r w:rsidR="00910473" w:rsidRPr="00F10029">
        <w:rPr>
          <w:rFonts w:ascii="Times New Roman" w:hAnsi="Times New Roman" w:cs="Times New Roman"/>
          <w:i/>
          <w:iCs/>
          <w:sz w:val="24"/>
          <w:szCs w:val="24"/>
        </w:rPr>
        <w:t>i</w:t>
      </w:r>
      <w:r w:rsidRPr="00F10029">
        <w:rPr>
          <w:rFonts w:ascii="Times New Roman" w:hAnsi="Times New Roman" w:cs="Times New Roman"/>
          <w:i/>
          <w:iCs/>
          <w:sz w:val="24"/>
          <w:szCs w:val="24"/>
        </w:rPr>
        <w:t xml:space="preserve">ndex </w:t>
      </w:r>
    </w:p>
    <w:p w14:paraId="68098E6C" w14:textId="77777777" w:rsidR="00715AB5" w:rsidRPr="00F10029" w:rsidRDefault="00715AB5" w:rsidP="006E30D4">
      <w:pPr>
        <w:spacing w:after="0" w:line="240" w:lineRule="auto"/>
        <w:jc w:val="both"/>
        <w:rPr>
          <w:rFonts w:ascii="Times New Roman" w:hAnsi="Times New Roman" w:cs="Times New Roman"/>
          <w:sz w:val="24"/>
          <w:szCs w:val="24"/>
        </w:rPr>
      </w:pPr>
      <w:r w:rsidRPr="00F10029">
        <w:rPr>
          <w:rFonts w:ascii="Times New Roman" w:hAnsi="Times New Roman" w:cs="Times New Roman"/>
          <w:sz w:val="24"/>
          <w:szCs w:val="24"/>
        </w:rPr>
        <w:t xml:space="preserve">The Composite Stock Price Index also called the Jakarta Composite Index (JCI), is an index </w:t>
      </w:r>
      <w:r w:rsidRPr="00F10029">
        <w:rPr>
          <w:rFonts w:ascii="Times New Roman" w:hAnsi="Times New Roman" w:cs="Times New Roman"/>
          <w:sz w:val="24"/>
          <w:szCs w:val="24"/>
          <w:lang w:val="id-ID"/>
        </w:rPr>
        <w:t>that becomes</w:t>
      </w:r>
      <w:r w:rsidRPr="00F10029">
        <w:rPr>
          <w:rFonts w:ascii="Times New Roman" w:hAnsi="Times New Roman" w:cs="Times New Roman"/>
          <w:sz w:val="24"/>
          <w:szCs w:val="24"/>
        </w:rPr>
        <w:t xml:space="preserve"> an indicator of stock price movements of all companies listed on the Indonesia Stock Exchange </w:t>
      </w:r>
      <w:r w:rsidRPr="00F10029">
        <w:rPr>
          <w:rFonts w:ascii="Times New Roman" w:hAnsi="Times New Roman" w:cs="Times New Roman"/>
          <w:sz w:val="24"/>
          <w:szCs w:val="24"/>
        </w:rPr>
        <w:fldChar w:fldCharType="begin" w:fldLock="1"/>
      </w:r>
      <w:r w:rsidRPr="00F10029">
        <w:rPr>
          <w:rFonts w:ascii="Times New Roman" w:hAnsi="Times New Roman" w:cs="Times New Roman"/>
          <w:sz w:val="24"/>
          <w:szCs w:val="24"/>
        </w:rPr>
        <w:instrText>ADDIN CSL_CITATION {"citationItems":[{"id":"ITEM-1","itemData":{"author":[{"dropping-particle":"","family":"IDX","given":"","non-dropping-particle":"","parse-names":false,"suffix":""}],"id":"ITEM-1","issued":{"date-parts":[["2019"]]},"number-of-pages":"1-180","publisher":"PT Bursa Efek Indonesia","publisher-place":"Jakarta","title":"IDX factbook 2019","type":"book"},"uris":["http://www.mendeley.com/documents/?uuid=b2247e39-fd45-4e22-9280-7fb38a1fc0d0","http://www.mendeley.com/documents/?uuid=8adbb2cf-c1da-4f2c-8f3e-34c87f62f13a"]}],"mendeley":{"formattedCitation":"(IDX, 2019)","plainTextFormattedCitation":"(IDX, 2019)","previouslyFormattedCitation":"(IDX, 2019)"},"properties":{"noteIndex":0},"schema":"https://github.com/citation-style-language/schema/raw/master/csl-citation.json"}</w:instrText>
      </w:r>
      <w:r w:rsidRPr="00F10029">
        <w:rPr>
          <w:rFonts w:ascii="Times New Roman" w:hAnsi="Times New Roman" w:cs="Times New Roman"/>
          <w:sz w:val="24"/>
          <w:szCs w:val="24"/>
        </w:rPr>
        <w:fldChar w:fldCharType="separate"/>
      </w:r>
      <w:r w:rsidRPr="00F10029">
        <w:rPr>
          <w:rFonts w:ascii="Times New Roman" w:hAnsi="Times New Roman" w:cs="Times New Roman"/>
          <w:noProof/>
          <w:sz w:val="24"/>
          <w:szCs w:val="24"/>
        </w:rPr>
        <w:t>(</w:t>
      </w:r>
      <w:hyperlink w:anchor="IDX2019" w:history="1">
        <w:r w:rsidRPr="00F10029">
          <w:rPr>
            <w:rStyle w:val="Hyperlink"/>
            <w:rFonts w:ascii="Times New Roman" w:hAnsi="Times New Roman" w:cs="Times New Roman"/>
            <w:noProof/>
            <w:sz w:val="24"/>
            <w:szCs w:val="24"/>
            <w:u w:val="none"/>
          </w:rPr>
          <w:t>IDX, 2019</w:t>
        </w:r>
      </w:hyperlink>
      <w:r w:rsidRPr="00F10029">
        <w:rPr>
          <w:rFonts w:ascii="Times New Roman" w:hAnsi="Times New Roman" w:cs="Times New Roman"/>
          <w:noProof/>
          <w:sz w:val="24"/>
          <w:szCs w:val="24"/>
        </w:rPr>
        <w:t>)</w:t>
      </w:r>
      <w:r w:rsidRPr="00F10029">
        <w:rPr>
          <w:rFonts w:ascii="Times New Roman" w:hAnsi="Times New Roman" w:cs="Times New Roman"/>
          <w:sz w:val="24"/>
          <w:szCs w:val="24"/>
        </w:rPr>
        <w:fldChar w:fldCharType="end"/>
      </w:r>
      <w:r w:rsidRPr="00F10029">
        <w:rPr>
          <w:rFonts w:ascii="Times New Roman" w:hAnsi="Times New Roman" w:cs="Times New Roman"/>
          <w:sz w:val="24"/>
          <w:szCs w:val="24"/>
        </w:rPr>
        <w:t xml:space="preserve">. The JCI changes the price daily using the closing price. Stock price changes provide a historical overview of the index movement to measure the stock market's performance. </w:t>
      </w:r>
    </w:p>
    <w:p w14:paraId="51A9B9AC" w14:textId="77777777" w:rsidR="00715AB5" w:rsidRPr="00F10029" w:rsidRDefault="00715AB5" w:rsidP="00715AB5">
      <w:pPr>
        <w:spacing w:after="0" w:line="240" w:lineRule="auto"/>
        <w:ind w:left="900"/>
        <w:jc w:val="both"/>
        <w:rPr>
          <w:rFonts w:ascii="Times New Roman" w:hAnsi="Times New Roman" w:cs="Times New Roman"/>
          <w:i/>
          <w:iCs/>
          <w:sz w:val="24"/>
          <w:szCs w:val="24"/>
        </w:rPr>
      </w:pPr>
    </w:p>
    <w:p w14:paraId="7744DFA9" w14:textId="77777777" w:rsidR="00715AB5" w:rsidRPr="00F10029" w:rsidRDefault="00715AB5" w:rsidP="00355D82">
      <w:pPr>
        <w:spacing w:after="0" w:line="240" w:lineRule="auto"/>
        <w:jc w:val="both"/>
        <w:rPr>
          <w:rFonts w:ascii="Times New Roman" w:hAnsi="Times New Roman" w:cs="Times New Roman"/>
          <w:i/>
          <w:iCs/>
          <w:sz w:val="24"/>
          <w:szCs w:val="24"/>
        </w:rPr>
      </w:pPr>
      <w:r w:rsidRPr="00F10029">
        <w:rPr>
          <w:rFonts w:ascii="Times New Roman" w:hAnsi="Times New Roman" w:cs="Times New Roman"/>
          <w:i/>
          <w:iCs/>
          <w:sz w:val="24"/>
          <w:szCs w:val="24"/>
        </w:rPr>
        <w:t>Jakarta Stock Industrial Classification (JASICA)</w:t>
      </w:r>
    </w:p>
    <w:p w14:paraId="5FEEF561" w14:textId="657A10F9" w:rsidR="00715AB5" w:rsidRPr="00F10029" w:rsidRDefault="00715AB5" w:rsidP="00BC6BB5">
      <w:pPr>
        <w:spacing w:after="0" w:line="240" w:lineRule="auto"/>
        <w:jc w:val="both"/>
        <w:rPr>
          <w:rFonts w:ascii="Times New Roman" w:hAnsi="Times New Roman" w:cs="Times New Roman"/>
          <w:sz w:val="24"/>
          <w:szCs w:val="24"/>
          <w:lang w:val="id-ID"/>
        </w:rPr>
      </w:pPr>
      <w:r w:rsidRPr="00F10029">
        <w:rPr>
          <w:rFonts w:ascii="Times New Roman" w:hAnsi="Times New Roman" w:cs="Times New Roman"/>
          <w:sz w:val="24"/>
          <w:szCs w:val="24"/>
          <w:lang w:val="id-ID"/>
        </w:rPr>
        <w:t>The Jakarta Stock Industrial Classification (JASICA) system organizes companies listed on the Indonesia Stock Exchange (IDX) into nine main sectors, subdivided into 55 sub-sectors. These sectors, spanning primary, secondary, and tertiary industries, align with Indonesia’s Business Classification (KBLI) under the International Standard Industrial Classification (ISIC) framework (</w:t>
      </w:r>
      <w:hyperlink w:anchor="IDX2019" w:history="1">
        <w:r w:rsidRPr="00F10029">
          <w:rPr>
            <w:rStyle w:val="Hyperlink"/>
            <w:rFonts w:ascii="Times New Roman" w:hAnsi="Times New Roman" w:cs="Times New Roman"/>
            <w:sz w:val="24"/>
            <w:szCs w:val="24"/>
            <w:u w:val="none"/>
            <w:lang w:val="id-ID"/>
          </w:rPr>
          <w:t>IDX, 2019</w:t>
        </w:r>
      </w:hyperlink>
      <w:r w:rsidRPr="00F10029">
        <w:rPr>
          <w:rFonts w:ascii="Times New Roman" w:hAnsi="Times New Roman" w:cs="Times New Roman"/>
          <w:sz w:val="24"/>
          <w:szCs w:val="24"/>
          <w:lang w:val="id-ID"/>
        </w:rPr>
        <w:t>).</w:t>
      </w:r>
      <w:r w:rsidR="00BC6BB5" w:rsidRPr="00F10029">
        <w:rPr>
          <w:rFonts w:ascii="Times New Roman" w:hAnsi="Times New Roman" w:cs="Times New Roman"/>
          <w:sz w:val="24"/>
          <w:szCs w:val="24"/>
          <w:lang w:val="id-ID"/>
        </w:rPr>
        <w:t xml:space="preserve"> </w:t>
      </w:r>
      <w:r w:rsidRPr="00F10029">
        <w:rPr>
          <w:rFonts w:ascii="Times New Roman" w:hAnsi="Times New Roman" w:cs="Times New Roman"/>
          <w:sz w:val="24"/>
          <w:szCs w:val="24"/>
          <w:lang w:val="id-ID"/>
        </w:rPr>
        <w:t xml:space="preserve">In the context of Sharia-compliant companies, JASICA serves as a valuable tool to provide specific and detailed sectoral data. This classification facilitates the identification of Sharia-compliant businesses across diverse sectors, ensuring alignment with </w:t>
      </w:r>
      <w:r w:rsidRPr="00F10029">
        <w:rPr>
          <w:rFonts w:ascii="Times New Roman" w:hAnsi="Times New Roman" w:cs="Times New Roman"/>
          <w:sz w:val="24"/>
          <w:szCs w:val="24"/>
          <w:lang w:val="id-ID"/>
        </w:rPr>
        <w:lastRenderedPageBreak/>
        <w:t>Islamic principles while maintaining industry-specific categorization. For example, sectors like consumer goods or finance can be filtered to focus exclusively on entities that comply with Sharia regulations.</w:t>
      </w:r>
      <w:r w:rsidR="00355D82" w:rsidRPr="00F10029">
        <w:rPr>
          <w:rFonts w:ascii="Times New Roman" w:hAnsi="Times New Roman" w:cs="Times New Roman"/>
          <w:sz w:val="24"/>
          <w:szCs w:val="24"/>
          <w:lang w:val="id-ID"/>
        </w:rPr>
        <w:t xml:space="preserve"> </w:t>
      </w:r>
      <w:r w:rsidRPr="00F10029">
        <w:rPr>
          <w:rFonts w:ascii="Times New Roman" w:hAnsi="Times New Roman" w:cs="Times New Roman"/>
          <w:sz w:val="24"/>
          <w:szCs w:val="24"/>
          <w:lang w:val="id-ID"/>
        </w:rPr>
        <w:t>The detailed sectoral breakdown in JASICA enhances the precision of financial and market analysis by enabling researchers to observe industry-specific trends among Sharia-compliant firms. It also aids stakeholders, including investors and regulators, in evaluating sectoral performance and assessing the broader implications of Sharia compliance on market dynamics.</w:t>
      </w:r>
    </w:p>
    <w:p w14:paraId="6D487801" w14:textId="77777777" w:rsidR="00715AB5" w:rsidRPr="00F10029" w:rsidRDefault="00715AB5" w:rsidP="00715AB5">
      <w:pPr>
        <w:spacing w:after="0" w:line="240" w:lineRule="auto"/>
        <w:ind w:left="900"/>
        <w:jc w:val="both"/>
        <w:rPr>
          <w:rFonts w:ascii="Times New Roman" w:hAnsi="Times New Roman" w:cs="Times New Roman"/>
          <w:i/>
          <w:iCs/>
          <w:sz w:val="24"/>
          <w:szCs w:val="24"/>
          <w:lang w:val="id-ID"/>
        </w:rPr>
      </w:pPr>
    </w:p>
    <w:p w14:paraId="1030C28A" w14:textId="1199B594" w:rsidR="00715AB5" w:rsidRPr="00F10029" w:rsidRDefault="00715AB5" w:rsidP="00BC6BB5">
      <w:pPr>
        <w:spacing w:after="0" w:line="240" w:lineRule="auto"/>
        <w:rPr>
          <w:rFonts w:ascii="Times New Roman" w:hAnsi="Times New Roman" w:cs="Times New Roman"/>
          <w:i/>
          <w:iCs/>
          <w:sz w:val="24"/>
          <w:szCs w:val="24"/>
        </w:rPr>
      </w:pPr>
      <w:r w:rsidRPr="00F10029">
        <w:rPr>
          <w:rFonts w:ascii="Times New Roman" w:hAnsi="Times New Roman" w:cs="Times New Roman"/>
          <w:i/>
          <w:iCs/>
          <w:sz w:val="24"/>
          <w:szCs w:val="24"/>
        </w:rPr>
        <w:t xml:space="preserve">Event </w:t>
      </w:r>
      <w:r w:rsidR="00355D82" w:rsidRPr="00F10029">
        <w:rPr>
          <w:rFonts w:ascii="Times New Roman" w:hAnsi="Times New Roman" w:cs="Times New Roman"/>
          <w:i/>
          <w:iCs/>
          <w:sz w:val="24"/>
          <w:szCs w:val="24"/>
        </w:rPr>
        <w:t>s</w:t>
      </w:r>
      <w:r w:rsidRPr="00F10029">
        <w:rPr>
          <w:rFonts w:ascii="Times New Roman" w:hAnsi="Times New Roman" w:cs="Times New Roman"/>
          <w:i/>
          <w:iCs/>
          <w:sz w:val="24"/>
          <w:szCs w:val="24"/>
        </w:rPr>
        <w:t>tudy</w:t>
      </w:r>
    </w:p>
    <w:p w14:paraId="608E25ED" w14:textId="7A0E5556" w:rsidR="00715AB5" w:rsidRPr="00F10029" w:rsidRDefault="00715AB5" w:rsidP="00BC6BB5">
      <w:pPr>
        <w:spacing w:after="0" w:line="240" w:lineRule="auto"/>
        <w:jc w:val="both"/>
        <w:rPr>
          <w:rFonts w:ascii="Times New Roman" w:hAnsi="Times New Roman" w:cs="Times New Roman"/>
          <w:sz w:val="24"/>
          <w:szCs w:val="24"/>
        </w:rPr>
      </w:pPr>
      <w:r w:rsidRPr="00F10029">
        <w:rPr>
          <w:rFonts w:ascii="Times New Roman" w:hAnsi="Times New Roman" w:cs="Times New Roman"/>
          <w:sz w:val="24"/>
          <w:szCs w:val="24"/>
        </w:rPr>
        <w:t xml:space="preserve">An event study is a study that analyzes economic events and changes in stock prices </w:t>
      </w:r>
      <w:r w:rsidRPr="00F10029">
        <w:rPr>
          <w:rFonts w:ascii="Times New Roman" w:hAnsi="Times New Roman" w:cs="Times New Roman"/>
          <w:sz w:val="24"/>
          <w:szCs w:val="24"/>
        </w:rPr>
        <w:fldChar w:fldCharType="begin" w:fldLock="1"/>
      </w:r>
      <w:r w:rsidRPr="00F10029">
        <w:rPr>
          <w:rFonts w:ascii="Times New Roman" w:hAnsi="Times New Roman" w:cs="Times New Roman"/>
          <w:sz w:val="24"/>
          <w:szCs w:val="24"/>
        </w:rPr>
        <w:instrText>ADDIN CSL_CITATION {"citationItems":[{"id":"ITEM-1","itemData":{"DOI":"10.2307/2490855","abstract":"i","author":[{"dropping-particle":"","family":"Dyckman","given":"Thomas","non-dropping-particle":"","parse-names":false,"suffix":""},{"dropping-particle":"","family":"Philbrick","given":"Donna","non-dropping-particle":"","parse-names":false,"suffix":""},{"dropping-particle":"","family":"Stephan","given":"Jens","non-dropping-particle":"","parse-names":false,"suffix":""}],"container-title":"Journal of Accounting Research","id":"ITEM-1","issued":{"date-parts":[["1984"]]},"page":"1-30","title":"A Comparison of Event Study Methodologies Using Daily Stock Returns: A Simulation Approach","type":"article-journal","volume":"22"},"uris":["http://www.mendeley.com/documents/?uuid=fd8198dc-425e-4a6b-8a67-3c6acb7bbd33","http://www.mendeley.com/documents/?uuid=ee87ee72-5485-486f-95cb-dce331befc34","http://www.mendeley.com/documents/?uuid=514874d6-343e-4f68-9ba6-9ca46b1a9789"]}],"mendeley":{"formattedCitation":"(Dyckman et al., 1984)","plainTextFormattedCitation":"(Dyckman et al., 1984)","previouslyFormattedCitation":"(Dyckman et al., 1984)"},"properties":{"noteIndex":0},"schema":"https://github.com/citation-style-language/schema/raw/master/csl-citation.json"}</w:instrText>
      </w:r>
      <w:r w:rsidRPr="00F10029">
        <w:rPr>
          <w:rFonts w:ascii="Times New Roman" w:hAnsi="Times New Roman" w:cs="Times New Roman"/>
          <w:sz w:val="24"/>
          <w:szCs w:val="24"/>
        </w:rPr>
        <w:fldChar w:fldCharType="separate"/>
      </w:r>
      <w:r w:rsidRPr="00F10029">
        <w:rPr>
          <w:rFonts w:ascii="Times New Roman" w:hAnsi="Times New Roman" w:cs="Times New Roman"/>
          <w:noProof/>
          <w:sz w:val="24"/>
          <w:szCs w:val="24"/>
        </w:rPr>
        <w:t>(</w:t>
      </w:r>
      <w:hyperlink w:anchor="Dyckman1984" w:history="1">
        <w:r w:rsidRPr="00F10029">
          <w:rPr>
            <w:rStyle w:val="Hyperlink"/>
            <w:rFonts w:ascii="Times New Roman" w:hAnsi="Times New Roman" w:cs="Times New Roman"/>
            <w:noProof/>
            <w:sz w:val="24"/>
            <w:szCs w:val="24"/>
            <w:u w:val="none"/>
          </w:rPr>
          <w:t>Dyckman et al., 1984</w:t>
        </w:r>
      </w:hyperlink>
      <w:r w:rsidRPr="00F10029">
        <w:rPr>
          <w:rFonts w:ascii="Times New Roman" w:hAnsi="Times New Roman" w:cs="Times New Roman"/>
          <w:noProof/>
          <w:sz w:val="24"/>
          <w:szCs w:val="24"/>
        </w:rPr>
        <w:t>)</w:t>
      </w:r>
      <w:r w:rsidRPr="00F10029">
        <w:rPr>
          <w:rFonts w:ascii="Times New Roman" w:hAnsi="Times New Roman" w:cs="Times New Roman"/>
          <w:sz w:val="24"/>
          <w:szCs w:val="24"/>
        </w:rPr>
        <w:fldChar w:fldCharType="end"/>
      </w:r>
      <w:r w:rsidRPr="00F10029">
        <w:rPr>
          <w:rFonts w:ascii="Times New Roman" w:hAnsi="Times New Roman" w:cs="Times New Roman"/>
          <w:sz w:val="24"/>
          <w:szCs w:val="24"/>
        </w:rPr>
        <w:t xml:space="preserve">. </w:t>
      </w:r>
      <w:hyperlink w:anchor="Bowman1983" w:history="1">
        <w:r w:rsidRPr="00F10029">
          <w:rPr>
            <w:rStyle w:val="Hyperlink"/>
            <w:rFonts w:ascii="Times New Roman" w:hAnsi="Times New Roman" w:cs="Times New Roman"/>
            <w:sz w:val="24"/>
            <w:szCs w:val="24"/>
            <w:u w:val="none"/>
          </w:rPr>
          <w:fldChar w:fldCharType="begin" w:fldLock="1"/>
        </w:r>
        <w:r w:rsidRPr="00F10029">
          <w:rPr>
            <w:rStyle w:val="Hyperlink"/>
            <w:rFonts w:ascii="Times New Roman" w:hAnsi="Times New Roman" w:cs="Times New Roman"/>
            <w:sz w:val="24"/>
            <w:szCs w:val="24"/>
            <w:u w:val="none"/>
          </w:rPr>
          <w:instrText>ADDIN CSL_CITATION {"citationItems":[{"id":"ITEM-1","itemData":{"DOI":"10.1111/j.1468-5957.1983.tb00453.x","ISSN":"0306686X","abstract":"Event studies have become one of the most important methodological approaches to empirical research in frnance and accounting. This paper discusses the nature of event studies, differentiating the four basic types: information content, market efficiency, model evaluation and metric explanation. A structure is identified for the conduct of event studies and the steps discussed. Specific studies in the literature are cited as illustrations of various points. Finally, a number of issues of interpretation, evaluation and design are discussed which are crucial to the effective conduct and understanding of an event study. Copyright © 1983, Wiley Blackwell. All rights reserved","author":[{"dropping-particle":"","family":"Bowman","given":"Robert G.","non-dropping-particle":"","parse-names":false,"suffix":""}],"container-title":"Journal of Business Finance &amp; Accounting","id":"ITEM-1","issue":"4","issued":{"date-parts":[["1983"]]},"page":"561-584","title":"Understanding and Conducting Event Studies","type":"article-journal","volume":"10"},"uris":["http://www.mendeley.com/documents/?uuid=e7fa8526-0467-4091-ab96-d2f1ecb6f80e","http://www.mendeley.com/documents/?uuid=d54eb94e-759b-46ae-9748-06847336c367","http://www.mendeley.com/documents/?uuid=65acc86e-9ccc-4562-90c4-653ad9337c2d"]}],"mendeley":{"formattedCitation":"(Bowman, 1983)","manualFormatting":"Bowman (1983)","plainTextFormattedCitation":"(Bowman, 1983)","previouslyFormattedCitation":"(Bowman, 1983)"},"properties":{"noteIndex":0},"schema":"https://github.com/citation-style-language/schema/raw/master/csl-citation.json"}</w:instrText>
        </w:r>
        <w:r w:rsidRPr="00F10029">
          <w:rPr>
            <w:rStyle w:val="Hyperlink"/>
            <w:rFonts w:ascii="Times New Roman" w:hAnsi="Times New Roman" w:cs="Times New Roman"/>
            <w:sz w:val="24"/>
            <w:szCs w:val="24"/>
            <w:u w:val="none"/>
          </w:rPr>
          <w:fldChar w:fldCharType="separate"/>
        </w:r>
        <w:r w:rsidRPr="00F10029">
          <w:rPr>
            <w:rStyle w:val="Hyperlink"/>
            <w:rFonts w:ascii="Times New Roman" w:hAnsi="Times New Roman" w:cs="Times New Roman"/>
            <w:noProof/>
            <w:sz w:val="24"/>
            <w:szCs w:val="24"/>
            <w:u w:val="none"/>
          </w:rPr>
          <w:t>Bowman (1983)</w:t>
        </w:r>
        <w:r w:rsidRPr="00F10029">
          <w:rPr>
            <w:rStyle w:val="Hyperlink"/>
            <w:rFonts w:ascii="Times New Roman" w:hAnsi="Times New Roman" w:cs="Times New Roman"/>
            <w:sz w:val="24"/>
            <w:szCs w:val="24"/>
            <w:u w:val="none"/>
          </w:rPr>
          <w:fldChar w:fldCharType="end"/>
        </w:r>
      </w:hyperlink>
      <w:r w:rsidRPr="00F10029">
        <w:rPr>
          <w:rFonts w:ascii="Times New Roman" w:hAnsi="Times New Roman" w:cs="Times New Roman"/>
          <w:sz w:val="24"/>
          <w:szCs w:val="24"/>
        </w:rPr>
        <w:t xml:space="preserve"> Says that this study involves analyzing stock price behavior around the time of an information announcement or an event. Study events such as announcements of annual accounting earnings, changes in accounting principles, large block trades, and corporate mergers. There are three methodologies for calculating event studies (</w:t>
      </w:r>
      <w:r w:rsidRPr="00F10029">
        <w:rPr>
          <w:rFonts w:ascii="Times New Roman" w:hAnsi="Times New Roman" w:cs="Times New Roman"/>
          <w:sz w:val="24"/>
          <w:szCs w:val="24"/>
        </w:rPr>
        <w:fldChar w:fldCharType="begin" w:fldLock="1"/>
      </w:r>
      <w:r w:rsidRPr="00F10029">
        <w:rPr>
          <w:rFonts w:ascii="Times New Roman" w:hAnsi="Times New Roman" w:cs="Times New Roman"/>
          <w:sz w:val="24"/>
          <w:szCs w:val="24"/>
        </w:rPr>
        <w:instrText>ADDIN CSL_CITATION {"citationItems":[{"id":"ITEM-1","itemData":{"DOI":"10.1016/0304-405X(85)90042-X","ISSN":"0304405X","abstract":"This paper examines properties of daily stock returns and how the particular characteristics of these data affect event study methodologies. Daily data generally present few difficulties for event studies. Standard procedures are typically well-specified even when special daily data characteristics are ignored. However, recognition of autocorrelation in daily excess returns and changes in their variance conditional on an event can sometimes be advantageous. In addition, tests ignoring cross-sectional dependence can be well-specified and have higher power than tests which account for potential dependence. © 1985.","author":[{"dropping-particle":"","family":"Brown","given":"Stephen J.","non-dropping-particle":"","parse-names":false,"suffix":""},{"dropping-particle":"","family":"Warner","given":"Jerold B.","non-dropping-particle":"","parse-names":false,"suffix":""}],"container-title":"Journal of Financial Economics","id":"ITEM-1","issued":{"date-parts":[["1985"]]},"page":"3-31","title":"Using daily stock returns: The case of event studies","type":"article-journal","volume":"14"},"uris":["http://www.mendeley.com/documents/?uuid=c9874d32-5e0f-45d7-9ab9-35bf0ba4ae76","http://www.mendeley.com/documents/?uuid=6a1ae93e-8850-4e2a-8a01-edd4bdbdc747"]}],"mendeley":{"formattedCitation":"(Brown &amp; Warner, 1985)","manualFormatting":"Brown &amp; Warner (1985)","plainTextFormattedCitation":"(Brown &amp; Warner, 1985)","previouslyFormattedCitation":"(Brown &amp; Warner, 1985)"},"properties":{"noteIndex":0},"schema":"https://github.com/citation-style-language/schema/raw/master/csl-citation.json"}</w:instrText>
      </w:r>
      <w:r w:rsidRPr="00F10029">
        <w:rPr>
          <w:rFonts w:ascii="Times New Roman" w:hAnsi="Times New Roman" w:cs="Times New Roman"/>
          <w:sz w:val="24"/>
          <w:szCs w:val="24"/>
        </w:rPr>
        <w:fldChar w:fldCharType="separate"/>
      </w:r>
      <w:hyperlink w:anchor="Brown1985" w:history="1">
        <w:r w:rsidRPr="00F10029">
          <w:rPr>
            <w:rStyle w:val="Hyperlink"/>
            <w:rFonts w:ascii="Times New Roman" w:hAnsi="Times New Roman" w:cs="Times New Roman"/>
            <w:noProof/>
            <w:sz w:val="24"/>
            <w:szCs w:val="24"/>
            <w:u w:val="none"/>
          </w:rPr>
          <w:t>Brown &amp; Warner ,1985</w:t>
        </w:r>
      </w:hyperlink>
      <w:r w:rsidRPr="00F10029">
        <w:rPr>
          <w:rFonts w:ascii="Times New Roman" w:hAnsi="Times New Roman" w:cs="Times New Roman"/>
          <w:noProof/>
          <w:sz w:val="24"/>
          <w:szCs w:val="24"/>
        </w:rPr>
        <w:t>)</w:t>
      </w:r>
      <w:r w:rsidRPr="00F10029">
        <w:rPr>
          <w:rFonts w:ascii="Times New Roman" w:hAnsi="Times New Roman" w:cs="Times New Roman"/>
          <w:sz w:val="24"/>
          <w:szCs w:val="24"/>
        </w:rPr>
        <w:fldChar w:fldCharType="end"/>
      </w:r>
      <w:r w:rsidRPr="00F10029">
        <w:rPr>
          <w:rFonts w:ascii="Times New Roman" w:hAnsi="Times New Roman" w:cs="Times New Roman"/>
          <w:sz w:val="24"/>
          <w:szCs w:val="24"/>
        </w:rPr>
        <w:t>.</w:t>
      </w:r>
      <w:r w:rsidR="00355D82" w:rsidRPr="00F10029">
        <w:rPr>
          <w:rFonts w:ascii="Times New Roman" w:hAnsi="Times New Roman" w:cs="Times New Roman"/>
          <w:sz w:val="24"/>
          <w:szCs w:val="24"/>
        </w:rPr>
        <w:t xml:space="preserve"> </w:t>
      </w:r>
      <w:r w:rsidRPr="00F10029">
        <w:rPr>
          <w:rFonts w:ascii="Times New Roman" w:hAnsi="Times New Roman" w:cs="Times New Roman"/>
          <w:sz w:val="24"/>
          <w:szCs w:val="24"/>
        </w:rPr>
        <w:t xml:space="preserve">An event study is a method that can be used easily to measure the effect of an economic event on firm value. The event study method has been widely used in accounting, finance, and economics. The usefulness of this study stems from the fact that, given the rationality in the market, the effect of an event will be immediately reflected in the asset's price. Thus, it is possible to measure the economic impact of such circumstances using the observed asset prices over a relatively short period </w:t>
      </w:r>
      <w:r w:rsidRPr="00F10029">
        <w:rPr>
          <w:rFonts w:ascii="Times New Roman" w:hAnsi="Times New Roman" w:cs="Times New Roman"/>
          <w:sz w:val="24"/>
          <w:szCs w:val="24"/>
          <w:lang w:val="id-ID"/>
        </w:rPr>
        <w:fldChar w:fldCharType="begin" w:fldLock="1"/>
      </w:r>
      <w:r w:rsidRPr="00F10029">
        <w:rPr>
          <w:rFonts w:ascii="Times New Roman" w:hAnsi="Times New Roman" w:cs="Times New Roman"/>
          <w:sz w:val="24"/>
          <w:szCs w:val="24"/>
          <w:lang w:val="id-ID"/>
        </w:rPr>
        <w:instrText>ADDIN CSL_CITATION {"citationItems":[{"id":"ITEM-1","itemData":{"DOI":"10.1515/9781400830213-008","ISBN":"9781400830213","author":[{"dropping-particle":"","family":"Campbell","given":"John Y.","non-dropping-particle":"","parse-names":false,"suffix":""},{"dropping-particle":"","family":"Lo","given":"Andrew W.","non-dropping-particle":"","parse-names":false,"suffix":""},{"dropping-particle":"","family":"MacKinlay","given":"A. Craig","non-dropping-particle":"","parse-names":false,"suffix":""}],"chapter-number":"4","container-title":"The Econometrics of Financial Markets","id":"ITEM-1","issued":{"date-parts":[["1997"]]},"page":"149-180","publisher":"Princeton University Press","publisher-place":"Princeton","title":"Event-Study Analysis","type":"chapter"},"uris":["http://www.mendeley.com/documents/?uuid=22733e31-d027-4bb0-b782-f1206e0f5728","http://www.mendeley.com/documents/?uuid=75baeeb8-ebb7-4300-87f6-01d8aad4caaa"]}],"mendeley":{"formattedCitation":"(Campbell et al., 1997)","plainTextFormattedCitation":"(Campbell et al., 1997)","previouslyFormattedCitation":"(Campbell et al., 1997)"},"properties":{"noteIndex":0},"schema":"https://github.com/citation-style-language/schema/raw/master/csl-citation.json"}</w:instrText>
      </w:r>
      <w:r w:rsidRPr="00F10029">
        <w:rPr>
          <w:rFonts w:ascii="Times New Roman" w:hAnsi="Times New Roman" w:cs="Times New Roman"/>
          <w:sz w:val="24"/>
          <w:szCs w:val="24"/>
          <w:lang w:val="id-ID"/>
        </w:rPr>
        <w:fldChar w:fldCharType="separate"/>
      </w:r>
      <w:r w:rsidRPr="00F10029">
        <w:rPr>
          <w:rFonts w:ascii="Times New Roman" w:hAnsi="Times New Roman" w:cs="Times New Roman"/>
          <w:noProof/>
          <w:sz w:val="24"/>
          <w:szCs w:val="24"/>
          <w:lang w:val="id-ID"/>
        </w:rPr>
        <w:t>(</w:t>
      </w:r>
      <w:hyperlink w:anchor="Campbell1997" w:history="1">
        <w:r w:rsidRPr="00F10029">
          <w:rPr>
            <w:rStyle w:val="Hyperlink"/>
            <w:rFonts w:ascii="Times New Roman" w:hAnsi="Times New Roman" w:cs="Times New Roman"/>
            <w:noProof/>
            <w:sz w:val="24"/>
            <w:szCs w:val="24"/>
            <w:u w:val="none"/>
            <w:lang w:val="id-ID"/>
          </w:rPr>
          <w:t>Campbell et al., 1997</w:t>
        </w:r>
      </w:hyperlink>
      <w:r w:rsidRPr="00F10029">
        <w:rPr>
          <w:rFonts w:ascii="Times New Roman" w:hAnsi="Times New Roman" w:cs="Times New Roman"/>
          <w:noProof/>
          <w:sz w:val="24"/>
          <w:szCs w:val="24"/>
          <w:lang w:val="id-ID"/>
        </w:rPr>
        <w:t>)</w:t>
      </w:r>
      <w:r w:rsidRPr="00F10029">
        <w:rPr>
          <w:rFonts w:ascii="Times New Roman" w:hAnsi="Times New Roman" w:cs="Times New Roman"/>
          <w:sz w:val="24"/>
          <w:szCs w:val="24"/>
        </w:rPr>
        <w:fldChar w:fldCharType="end"/>
      </w:r>
      <w:r w:rsidRPr="00F10029">
        <w:rPr>
          <w:rFonts w:ascii="Times New Roman" w:hAnsi="Times New Roman" w:cs="Times New Roman"/>
          <w:sz w:val="24"/>
          <w:szCs w:val="24"/>
        </w:rPr>
        <w:t>.</w:t>
      </w:r>
    </w:p>
    <w:p w14:paraId="4851D72E" w14:textId="77777777" w:rsidR="00715AB5" w:rsidRPr="00F10029" w:rsidRDefault="00715AB5" w:rsidP="00715AB5">
      <w:pPr>
        <w:spacing w:after="0" w:line="240" w:lineRule="auto"/>
        <w:ind w:left="900"/>
        <w:rPr>
          <w:rFonts w:ascii="Times New Roman" w:hAnsi="Times New Roman" w:cs="Times New Roman"/>
          <w:sz w:val="24"/>
          <w:szCs w:val="24"/>
        </w:rPr>
      </w:pPr>
    </w:p>
    <w:p w14:paraId="06B8D0A3" w14:textId="77777777" w:rsidR="00715AB5" w:rsidRPr="00F10029" w:rsidRDefault="00715AB5" w:rsidP="00715AB5">
      <w:pPr>
        <w:widowControl w:val="0"/>
        <w:numPr>
          <w:ilvl w:val="0"/>
          <w:numId w:val="62"/>
        </w:numPr>
        <w:autoSpaceDE w:val="0"/>
        <w:autoSpaceDN w:val="0"/>
        <w:spacing w:after="0" w:line="240" w:lineRule="auto"/>
        <w:ind w:left="900"/>
        <w:rPr>
          <w:rFonts w:ascii="Times New Roman" w:hAnsi="Times New Roman" w:cs="Times New Roman"/>
          <w:sz w:val="24"/>
          <w:szCs w:val="24"/>
        </w:rPr>
      </w:pPr>
      <w:r w:rsidRPr="00F10029">
        <w:rPr>
          <w:rFonts w:ascii="Times New Roman" w:hAnsi="Times New Roman" w:cs="Times New Roman"/>
          <w:sz w:val="24"/>
          <w:szCs w:val="24"/>
        </w:rPr>
        <w:t>Mean Adjusted Return</w:t>
      </w:r>
    </w:p>
    <w:p w14:paraId="7B28B748" w14:textId="77777777" w:rsidR="00715AB5" w:rsidRPr="00F10029" w:rsidRDefault="00715AB5" w:rsidP="00715AB5">
      <w:pPr>
        <w:spacing w:after="0" w:line="240" w:lineRule="auto"/>
        <w:ind w:left="900"/>
        <w:rPr>
          <w:rFonts w:ascii="Times New Roman" w:hAnsi="Times New Roman" w:cs="Times New Roman"/>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d>
              <m:dPr>
                <m:ctrlPr>
                  <w:rPr>
                    <w:rFonts w:ascii="Cambria Math" w:hAnsi="Cambria Math" w:cs="Times New Roman"/>
                    <w:i/>
                    <w:sz w:val="24"/>
                    <w:szCs w:val="24"/>
                  </w:rPr>
                </m:ctrlPr>
              </m:dPr>
              <m:e>
                <m:r>
                  <w:rPr>
                    <w:rFonts w:ascii="Cambria Math" w:hAnsi="Cambria Math" w:cs="Times New Roman"/>
                    <w:sz w:val="24"/>
                    <w:szCs w:val="24"/>
                  </w:rPr>
                  <m:t>i,t</m:t>
                </m:r>
              </m:e>
            </m:d>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R</m:t>
            </m:r>
          </m:e>
          <m:sub>
            <m:d>
              <m:dPr>
                <m:ctrlPr>
                  <w:rPr>
                    <w:rFonts w:ascii="Cambria Math" w:hAnsi="Cambria Math" w:cs="Times New Roman"/>
                    <w:i/>
                    <w:sz w:val="24"/>
                    <w:szCs w:val="24"/>
                  </w:rPr>
                </m:ctrlPr>
              </m:dPr>
              <m:e>
                <m:r>
                  <w:rPr>
                    <w:rFonts w:ascii="Cambria Math" w:hAnsi="Cambria Math" w:cs="Times New Roman"/>
                    <w:sz w:val="24"/>
                    <w:szCs w:val="24"/>
                  </w:rPr>
                  <m:t>i,t</m:t>
                </m:r>
              </m:e>
            </m:d>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R</m:t>
                </m:r>
              </m:e>
            </m:acc>
          </m:e>
          <m:sub>
            <m:r>
              <w:rPr>
                <w:rFonts w:ascii="Cambria Math" w:hAnsi="Cambria Math" w:cs="Times New Roman"/>
                <w:sz w:val="24"/>
                <w:szCs w:val="24"/>
              </w:rPr>
              <m:t>i</m:t>
            </m:r>
          </m:sub>
        </m:sSub>
      </m:oMath>
      <w:r w:rsidRPr="00F10029">
        <w:rPr>
          <w:rFonts w:ascii="Times New Roman" w:hAnsi="Times New Roman" w:cs="Times New Roman"/>
          <w:sz w:val="24"/>
          <w:szCs w:val="24"/>
          <w:lang w:val="id-ID"/>
        </w:rPr>
        <w:t xml:space="preserve"> (1)</w:t>
      </w:r>
    </w:p>
    <w:p w14:paraId="640C3C97" w14:textId="77777777" w:rsidR="00715AB5" w:rsidRPr="00F10029" w:rsidRDefault="00715AB5" w:rsidP="00715AB5">
      <w:pPr>
        <w:spacing w:after="0" w:line="240" w:lineRule="auto"/>
        <w:ind w:left="900"/>
        <w:rPr>
          <w:rFonts w:ascii="Times New Roman" w:hAnsi="Times New Roman" w:cs="Times New Roman"/>
          <w:sz w:val="24"/>
          <w:szCs w:val="24"/>
        </w:rPr>
      </w:pPr>
    </w:p>
    <w:p w14:paraId="447D5B60" w14:textId="77777777" w:rsidR="00715AB5" w:rsidRPr="00F10029" w:rsidRDefault="00715AB5" w:rsidP="00715AB5">
      <w:pPr>
        <w:spacing w:after="0" w:line="240" w:lineRule="auto"/>
        <w:ind w:left="900"/>
        <w:rPr>
          <w:rFonts w:ascii="Times New Roman" w:hAnsi="Times New Roman" w:cs="Times New Roman"/>
          <w:sz w:val="24"/>
          <w:szCs w:val="24"/>
        </w:rPr>
      </w:pPr>
      <w:r w:rsidRPr="00F10029">
        <w:rPr>
          <w:rFonts w:ascii="Times New Roman" w:hAnsi="Times New Roman" w:cs="Times New Roman"/>
          <w:sz w:val="24"/>
          <w:szCs w:val="24"/>
        </w:rPr>
        <w:t>Notes:</w:t>
      </w:r>
    </w:p>
    <w:p w14:paraId="182748A5" w14:textId="77777777" w:rsidR="00715AB5" w:rsidRPr="00F10029" w:rsidRDefault="00715AB5" w:rsidP="00715AB5">
      <w:pPr>
        <w:spacing w:after="0" w:line="240" w:lineRule="auto"/>
        <w:ind w:left="900"/>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A</m:t>
              </m:r>
            </m:e>
            <m:sub>
              <m:d>
                <m:dPr>
                  <m:ctrlPr>
                    <w:rPr>
                      <w:rFonts w:ascii="Cambria Math" w:hAnsi="Cambria Math" w:cs="Times New Roman"/>
                      <w:i/>
                      <w:sz w:val="24"/>
                      <w:szCs w:val="24"/>
                    </w:rPr>
                  </m:ctrlPr>
                </m:dPr>
                <m:e>
                  <m:r>
                    <w:rPr>
                      <w:rFonts w:ascii="Cambria Math" w:hAnsi="Cambria Math" w:cs="Times New Roman"/>
                      <w:sz w:val="24"/>
                      <w:szCs w:val="24"/>
                    </w:rPr>
                    <m:t>i,t</m:t>
                  </m:r>
                </m:e>
              </m:d>
            </m:sub>
          </m:sSub>
          <m:r>
            <w:rPr>
              <w:rFonts w:ascii="Cambria Math" w:hAnsi="Cambria Math" w:cs="Times New Roman"/>
              <w:sz w:val="24"/>
              <w:szCs w:val="24"/>
            </w:rPr>
            <m:t xml:space="preserve">= </m:t>
          </m:r>
          <m:r>
            <m:rPr>
              <m:sty m:val="p"/>
            </m:rPr>
            <w:rPr>
              <w:rFonts w:ascii="Cambria Math" w:hAnsi="Cambria Math" w:cs="Times New Roman"/>
              <w:sz w:val="24"/>
              <w:szCs w:val="24"/>
              <w:lang w:val="id-ID"/>
            </w:rPr>
            <m:t>excess return for security I at day t</m:t>
          </m:r>
        </m:oMath>
      </m:oMathPara>
    </w:p>
    <w:p w14:paraId="361AA275" w14:textId="77777777" w:rsidR="00715AB5" w:rsidRPr="00F10029" w:rsidRDefault="00715AB5" w:rsidP="00715AB5">
      <w:pPr>
        <w:spacing w:after="0" w:line="240" w:lineRule="auto"/>
        <w:ind w:left="900"/>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R</m:t>
              </m:r>
            </m:e>
            <m:sub>
              <m:d>
                <m:dPr>
                  <m:ctrlPr>
                    <w:rPr>
                      <w:rFonts w:ascii="Cambria Math" w:hAnsi="Cambria Math" w:cs="Times New Roman"/>
                      <w:i/>
                      <w:sz w:val="24"/>
                      <w:szCs w:val="24"/>
                    </w:rPr>
                  </m:ctrlPr>
                </m:dPr>
                <m:e>
                  <m:r>
                    <w:rPr>
                      <w:rFonts w:ascii="Cambria Math" w:hAnsi="Cambria Math" w:cs="Times New Roman"/>
                      <w:sz w:val="24"/>
                      <w:szCs w:val="24"/>
                    </w:rPr>
                    <m:t>i,t</m:t>
                  </m:r>
                </m:e>
              </m:d>
            </m:sub>
          </m:sSub>
          <m:r>
            <w:rPr>
              <w:rFonts w:ascii="Cambria Math" w:hAnsi="Cambria Math" w:cs="Times New Roman"/>
              <w:sz w:val="24"/>
              <w:szCs w:val="24"/>
            </w:rPr>
            <m:t xml:space="preserve">= </m:t>
          </m:r>
          <m:r>
            <m:rPr>
              <m:sty m:val="p"/>
            </m:rPr>
            <w:rPr>
              <w:rFonts w:ascii="Cambria Math" w:hAnsi="Cambria Math" w:cs="Times New Roman"/>
              <w:sz w:val="24"/>
              <w:szCs w:val="24"/>
              <w:lang w:val="id-ID"/>
            </w:rPr>
            <m:t>the observed arithmetic return for security I at day t.</m:t>
          </m:r>
        </m:oMath>
      </m:oMathPara>
    </w:p>
    <w:p w14:paraId="36D7250B" w14:textId="77777777" w:rsidR="00715AB5" w:rsidRPr="00F10029" w:rsidRDefault="00715AB5" w:rsidP="00715AB5">
      <w:pPr>
        <w:spacing w:after="0" w:line="240" w:lineRule="auto"/>
        <w:ind w:left="900"/>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R</m:t>
                  </m:r>
                </m:e>
              </m:acc>
            </m:e>
            <m:sub>
              <m:r>
                <w:rPr>
                  <w:rFonts w:ascii="Cambria Math" w:hAnsi="Cambria Math" w:cs="Times New Roman"/>
                  <w:sz w:val="24"/>
                  <w:szCs w:val="24"/>
                </w:rPr>
                <m:t>i</m:t>
              </m:r>
            </m:sub>
          </m:sSub>
          <m:r>
            <w:rPr>
              <w:rFonts w:ascii="Cambria Math" w:hAnsi="Cambria Math" w:cs="Times New Roman"/>
              <w:sz w:val="24"/>
              <w:szCs w:val="24"/>
            </w:rPr>
            <m:t xml:space="preserve">= </m:t>
          </m:r>
          <m:r>
            <m:rPr>
              <m:sty m:val="p"/>
            </m:rPr>
            <w:rPr>
              <w:rFonts w:ascii="Cambria Math" w:hAnsi="Cambria Math" w:cs="Times New Roman"/>
              <w:sz w:val="24"/>
              <w:szCs w:val="24"/>
              <w:lang w:val="id-ID"/>
            </w:rPr>
            <m:t>Average of security i's daily returns in the estimation period</m:t>
          </m:r>
        </m:oMath>
      </m:oMathPara>
    </w:p>
    <w:p w14:paraId="76B4D5DC" w14:textId="77777777" w:rsidR="00715AB5" w:rsidRPr="00F10029" w:rsidRDefault="00715AB5" w:rsidP="00715AB5">
      <w:pPr>
        <w:widowControl w:val="0"/>
        <w:numPr>
          <w:ilvl w:val="0"/>
          <w:numId w:val="62"/>
        </w:numPr>
        <w:autoSpaceDE w:val="0"/>
        <w:autoSpaceDN w:val="0"/>
        <w:spacing w:after="0" w:line="240" w:lineRule="auto"/>
        <w:ind w:left="900"/>
        <w:rPr>
          <w:rFonts w:ascii="Times New Roman" w:hAnsi="Times New Roman" w:cs="Times New Roman"/>
          <w:sz w:val="24"/>
          <w:szCs w:val="24"/>
        </w:rPr>
      </w:pPr>
      <w:r w:rsidRPr="00F10029">
        <w:rPr>
          <w:rFonts w:ascii="Times New Roman" w:hAnsi="Times New Roman" w:cs="Times New Roman"/>
          <w:sz w:val="24"/>
          <w:szCs w:val="24"/>
        </w:rPr>
        <w:t>Market Adjusted Return</w:t>
      </w:r>
    </w:p>
    <w:p w14:paraId="127D41F9" w14:textId="77777777" w:rsidR="00715AB5" w:rsidRPr="00F10029" w:rsidRDefault="00715AB5" w:rsidP="00715AB5">
      <w:pPr>
        <w:spacing w:after="0" w:line="240" w:lineRule="auto"/>
        <w:ind w:left="900"/>
        <w:rPr>
          <w:rFonts w:ascii="Times New Roman" w:hAnsi="Times New Roman" w:cs="Times New Roman"/>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d>
              <m:dPr>
                <m:ctrlPr>
                  <w:rPr>
                    <w:rFonts w:ascii="Cambria Math" w:hAnsi="Cambria Math" w:cs="Times New Roman"/>
                    <w:i/>
                    <w:sz w:val="24"/>
                    <w:szCs w:val="24"/>
                  </w:rPr>
                </m:ctrlPr>
              </m:dPr>
              <m:e>
                <m:r>
                  <w:rPr>
                    <w:rFonts w:ascii="Cambria Math" w:hAnsi="Cambria Math" w:cs="Times New Roman"/>
                    <w:sz w:val="24"/>
                    <w:szCs w:val="24"/>
                  </w:rPr>
                  <m:t>i,t</m:t>
                </m:r>
              </m:e>
            </m:d>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(m,t)</m:t>
            </m:r>
          </m:sub>
        </m:sSub>
      </m:oMath>
      <w:r w:rsidRPr="00F10029">
        <w:rPr>
          <w:rFonts w:ascii="Times New Roman" w:hAnsi="Times New Roman" w:cs="Times New Roman"/>
          <w:sz w:val="24"/>
          <w:szCs w:val="24"/>
          <w:lang w:val="id-ID"/>
        </w:rPr>
        <w:t xml:space="preserve"> (2)</w:t>
      </w:r>
    </w:p>
    <w:p w14:paraId="6A58BA68" w14:textId="77777777" w:rsidR="00715AB5" w:rsidRPr="00F10029" w:rsidRDefault="00715AB5" w:rsidP="00715AB5">
      <w:pPr>
        <w:spacing w:after="0" w:line="240" w:lineRule="auto"/>
        <w:ind w:left="900"/>
        <w:rPr>
          <w:rFonts w:ascii="Times New Roman" w:hAnsi="Times New Roman" w:cs="Times New Roman"/>
          <w:sz w:val="24"/>
          <w:szCs w:val="24"/>
        </w:rPr>
      </w:pPr>
      <w:r w:rsidRPr="00F10029">
        <w:rPr>
          <w:rFonts w:ascii="Times New Roman" w:hAnsi="Times New Roman" w:cs="Times New Roman"/>
          <w:sz w:val="24"/>
          <w:szCs w:val="24"/>
        </w:rPr>
        <w:t>Notes:</w:t>
      </w:r>
    </w:p>
    <w:p w14:paraId="68F41686" w14:textId="77777777" w:rsidR="00715AB5" w:rsidRPr="00F10029" w:rsidRDefault="00715AB5" w:rsidP="00715AB5">
      <w:pPr>
        <w:spacing w:after="0" w:line="240" w:lineRule="auto"/>
        <w:ind w:left="900"/>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(m,t)</m:t>
              </m:r>
            </m:sub>
          </m:sSub>
          <m:r>
            <w:rPr>
              <w:rFonts w:ascii="Cambria Math" w:hAnsi="Cambria Math" w:cs="Times New Roman"/>
              <w:sz w:val="24"/>
              <w:szCs w:val="24"/>
            </w:rPr>
            <m:t xml:space="preserve">= </m:t>
          </m:r>
          <m:r>
            <m:rPr>
              <m:sty m:val="p"/>
            </m:rPr>
            <w:rPr>
              <w:rFonts w:ascii="Cambria Math" w:hAnsi="Cambria Math" w:cs="Times New Roman"/>
              <w:sz w:val="24"/>
              <w:szCs w:val="24"/>
              <w:lang w:val="id-ID"/>
            </w:rPr>
            <m:t>return on the CRSP equally weighted index for day t.</m:t>
          </m:r>
        </m:oMath>
      </m:oMathPara>
    </w:p>
    <w:p w14:paraId="7710FE59" w14:textId="77777777" w:rsidR="00715AB5" w:rsidRPr="00F10029" w:rsidRDefault="00715AB5" w:rsidP="00715AB5">
      <w:pPr>
        <w:widowControl w:val="0"/>
        <w:numPr>
          <w:ilvl w:val="0"/>
          <w:numId w:val="62"/>
        </w:numPr>
        <w:autoSpaceDE w:val="0"/>
        <w:autoSpaceDN w:val="0"/>
        <w:spacing w:after="0" w:line="240" w:lineRule="auto"/>
        <w:ind w:left="900"/>
        <w:rPr>
          <w:rFonts w:ascii="Times New Roman" w:hAnsi="Times New Roman" w:cs="Times New Roman"/>
          <w:sz w:val="24"/>
          <w:szCs w:val="24"/>
        </w:rPr>
      </w:pPr>
      <w:r w:rsidRPr="00F10029">
        <w:rPr>
          <w:rFonts w:ascii="Times New Roman" w:hAnsi="Times New Roman" w:cs="Times New Roman"/>
          <w:sz w:val="24"/>
          <w:szCs w:val="24"/>
        </w:rPr>
        <w:t>OLS Market Model</w:t>
      </w:r>
    </w:p>
    <w:p w14:paraId="61FA9D35" w14:textId="77777777" w:rsidR="00715AB5" w:rsidRPr="00F10029" w:rsidRDefault="00715AB5" w:rsidP="00715AB5">
      <w:pPr>
        <w:spacing w:after="0" w:line="240" w:lineRule="auto"/>
        <w:ind w:left="900"/>
        <w:rPr>
          <w:rFonts w:ascii="Times New Roman" w:hAnsi="Times New Roman" w:cs="Times New Roman"/>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d>
              <m:dPr>
                <m:ctrlPr>
                  <w:rPr>
                    <w:rFonts w:ascii="Cambria Math" w:hAnsi="Cambria Math" w:cs="Times New Roman"/>
                    <w:i/>
                    <w:sz w:val="24"/>
                    <w:szCs w:val="24"/>
                  </w:rPr>
                </m:ctrlPr>
              </m:dPr>
              <m:e>
                <m:r>
                  <w:rPr>
                    <w:rFonts w:ascii="Cambria Math" w:hAnsi="Cambria Math" w:cs="Times New Roman"/>
                    <w:sz w:val="24"/>
                    <w:szCs w:val="24"/>
                  </w:rPr>
                  <m:t>i,t</m:t>
                </m:r>
              </m:e>
            </m:d>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α</m:t>
                </m:r>
              </m:e>
            </m:acc>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(m,t)</m:t>
            </m:r>
          </m:sub>
        </m:sSub>
      </m:oMath>
      <w:r w:rsidRPr="00F10029">
        <w:rPr>
          <w:rFonts w:ascii="Times New Roman" w:hAnsi="Times New Roman" w:cs="Times New Roman"/>
          <w:sz w:val="24"/>
          <w:szCs w:val="24"/>
          <w:lang w:val="id-ID"/>
        </w:rPr>
        <w:t xml:space="preserve"> (3)</w:t>
      </w:r>
    </w:p>
    <w:p w14:paraId="666DE447" w14:textId="77777777" w:rsidR="00715AB5" w:rsidRPr="00F10029" w:rsidRDefault="00715AB5" w:rsidP="00715AB5">
      <w:pPr>
        <w:spacing w:after="0" w:line="240" w:lineRule="auto"/>
        <w:ind w:left="900"/>
        <w:rPr>
          <w:rFonts w:ascii="Times New Roman" w:hAnsi="Times New Roman" w:cs="Times New Roman"/>
          <w:sz w:val="24"/>
          <w:szCs w:val="24"/>
        </w:rPr>
      </w:pPr>
    </w:p>
    <w:p w14:paraId="20DB5275" w14:textId="77777777" w:rsidR="00715AB5" w:rsidRPr="00F10029" w:rsidRDefault="00715AB5" w:rsidP="00715AB5">
      <w:pPr>
        <w:spacing w:after="0" w:line="240" w:lineRule="auto"/>
        <w:ind w:left="900"/>
        <w:rPr>
          <w:rFonts w:ascii="Times New Roman" w:hAnsi="Times New Roman" w:cs="Times New Roman"/>
          <w:sz w:val="24"/>
          <w:szCs w:val="24"/>
        </w:rPr>
      </w:pPr>
      <w:r w:rsidRPr="00F10029">
        <w:rPr>
          <w:rFonts w:ascii="Times New Roman" w:hAnsi="Times New Roman" w:cs="Times New Roman"/>
          <w:sz w:val="24"/>
          <w:szCs w:val="24"/>
        </w:rPr>
        <w:t>Notes:</w:t>
      </w:r>
    </w:p>
    <w:p w14:paraId="18F7241B" w14:textId="77777777" w:rsidR="00715AB5" w:rsidRPr="00F10029" w:rsidRDefault="00715AB5" w:rsidP="00715AB5">
      <w:pPr>
        <w:spacing w:after="0" w:line="240" w:lineRule="auto"/>
        <w:ind w:left="900"/>
        <w:rPr>
          <w:rFonts w:ascii="Times New Roman" w:hAnsi="Times New Roman" w:cs="Times New Roman"/>
          <w:sz w:val="24"/>
          <w:szCs w:val="24"/>
        </w:rPr>
      </w:pPr>
      <m:oMathPara>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α</m:t>
                  </m:r>
                </m:e>
              </m:acc>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d>
                <m:dPr>
                  <m:ctrlPr>
                    <w:rPr>
                      <w:rFonts w:ascii="Cambria Math" w:hAnsi="Cambria Math" w:cs="Times New Roman"/>
                      <w:i/>
                      <w:sz w:val="24"/>
                      <w:szCs w:val="24"/>
                    </w:rPr>
                  </m:ctrlPr>
                </m:dPr>
                <m:e>
                  <m:r>
                    <w:rPr>
                      <w:rFonts w:ascii="Cambria Math" w:hAnsi="Cambria Math" w:cs="Times New Roman"/>
                      <w:sz w:val="24"/>
                      <w:szCs w:val="24"/>
                    </w:rPr>
                    <m:t>m,t</m:t>
                  </m:r>
                </m:e>
              </m:d>
            </m:sub>
          </m:sSub>
          <m:r>
            <w:rPr>
              <w:rFonts w:ascii="Cambria Math" w:hAnsi="Cambria Math" w:cs="Times New Roman"/>
              <w:sz w:val="24"/>
              <w:szCs w:val="24"/>
            </w:rPr>
            <m:t xml:space="preserve">= </m:t>
          </m:r>
          <m:r>
            <m:rPr>
              <m:sty m:val="p"/>
            </m:rPr>
            <w:rPr>
              <w:rFonts w:ascii="Cambria Math" w:hAnsi="Cambria Math" w:cs="Times New Roman"/>
              <w:sz w:val="24"/>
              <w:szCs w:val="24"/>
              <w:lang w:val="id-ID"/>
            </w:rPr>
            <m:t xml:space="preserve">OLS values from the estimation period. </m:t>
          </m:r>
        </m:oMath>
      </m:oMathPara>
    </w:p>
    <w:p w14:paraId="3678E14C" w14:textId="77777777" w:rsidR="007C73BC" w:rsidRPr="00F10029" w:rsidRDefault="007C73BC" w:rsidP="005B5210">
      <w:pPr>
        <w:spacing w:after="0" w:line="240" w:lineRule="auto"/>
        <w:jc w:val="both"/>
        <w:rPr>
          <w:rFonts w:ascii="Times New Roman" w:hAnsi="Times New Roman" w:cs="Times New Roman"/>
          <w:b/>
          <w:noProof/>
          <w:sz w:val="24"/>
          <w:szCs w:val="24"/>
          <w:lang w:val="id-ID"/>
        </w:rPr>
      </w:pPr>
    </w:p>
    <w:p w14:paraId="1191C5FF" w14:textId="6B172A1F" w:rsidR="00EC6509" w:rsidRPr="00F10029" w:rsidRDefault="008176B0" w:rsidP="003111AF">
      <w:pPr>
        <w:spacing w:after="0" w:line="240" w:lineRule="auto"/>
        <w:jc w:val="both"/>
        <w:rPr>
          <w:rFonts w:ascii="Times New Roman" w:hAnsi="Times New Roman" w:cs="Times New Roman"/>
          <w:b/>
          <w:noProof/>
          <w:sz w:val="24"/>
          <w:szCs w:val="24"/>
          <w:lang w:val="id-ID"/>
        </w:rPr>
      </w:pPr>
      <w:r w:rsidRPr="00F10029">
        <w:rPr>
          <w:rFonts w:ascii="Times New Roman" w:hAnsi="Times New Roman" w:cs="Times New Roman"/>
          <w:b/>
          <w:noProof/>
          <w:sz w:val="24"/>
          <w:szCs w:val="24"/>
          <w:lang w:val="id-ID"/>
        </w:rPr>
        <w:t>Methodology</w:t>
      </w:r>
    </w:p>
    <w:p w14:paraId="75F852C6" w14:textId="77777777" w:rsidR="003111AF" w:rsidRPr="00F10029" w:rsidRDefault="003111AF" w:rsidP="003111AF">
      <w:pPr>
        <w:spacing w:after="0" w:line="240" w:lineRule="auto"/>
        <w:jc w:val="both"/>
        <w:rPr>
          <w:rFonts w:ascii="Times New Roman" w:hAnsi="Times New Roman" w:cs="Times New Roman"/>
          <w:i/>
          <w:color w:val="000000" w:themeColor="text1"/>
          <w:sz w:val="24"/>
          <w:szCs w:val="24"/>
        </w:rPr>
      </w:pPr>
      <w:bookmarkStart w:id="3" w:name="_Hlk184646655"/>
      <w:r w:rsidRPr="00F10029">
        <w:rPr>
          <w:rFonts w:ascii="Times New Roman" w:hAnsi="Times New Roman" w:cs="Times New Roman"/>
          <w:i/>
          <w:color w:val="000000" w:themeColor="text1"/>
          <w:sz w:val="24"/>
          <w:szCs w:val="24"/>
        </w:rPr>
        <w:t>Data sources and samples</w:t>
      </w:r>
    </w:p>
    <w:p w14:paraId="528C5AB5" w14:textId="77777777" w:rsidR="003111AF" w:rsidRPr="00F10029" w:rsidRDefault="003111AF" w:rsidP="003111AF">
      <w:pPr>
        <w:spacing w:after="0" w:line="240" w:lineRule="auto"/>
        <w:jc w:val="both"/>
        <w:rPr>
          <w:rFonts w:ascii="Times New Roman" w:hAnsi="Times New Roman" w:cs="Times New Roman"/>
          <w:color w:val="000000" w:themeColor="text1"/>
          <w:sz w:val="24"/>
          <w:szCs w:val="24"/>
        </w:rPr>
      </w:pPr>
      <w:r w:rsidRPr="00F10029">
        <w:rPr>
          <w:rFonts w:ascii="Times New Roman" w:hAnsi="Times New Roman" w:cs="Times New Roman"/>
          <w:color w:val="000000" w:themeColor="text1"/>
          <w:sz w:val="24"/>
          <w:szCs w:val="24"/>
        </w:rPr>
        <w:t>The data used in this study were daily prices and stock trading volume in four sub-sectors according to the Jakarta Stock Industrial Classification (JASICA) classification. The four subsectors were Transportation, Telecommunications, Health, and Food &amp; Beverages. The data period investigated was from October 21, 2019, to March 16, 2020. The D-day or event date was March 2, 2020, which became Indonesia's first Covid-19 case announcement.</w:t>
      </w:r>
    </w:p>
    <w:p w14:paraId="19E978B3" w14:textId="77777777" w:rsidR="003111AF" w:rsidRPr="00F10029" w:rsidRDefault="003111AF" w:rsidP="003111AF">
      <w:pPr>
        <w:spacing w:after="0" w:line="240" w:lineRule="auto"/>
        <w:jc w:val="both"/>
        <w:rPr>
          <w:rFonts w:ascii="Times New Roman" w:hAnsi="Times New Roman" w:cs="Times New Roman"/>
          <w:i/>
          <w:color w:val="000000" w:themeColor="text1"/>
          <w:sz w:val="24"/>
          <w:szCs w:val="24"/>
        </w:rPr>
      </w:pPr>
    </w:p>
    <w:p w14:paraId="1726EB6E" w14:textId="77777777" w:rsidR="003111AF" w:rsidRPr="00F10029" w:rsidRDefault="003111AF" w:rsidP="003111AF">
      <w:pPr>
        <w:spacing w:after="0" w:line="240" w:lineRule="auto"/>
        <w:jc w:val="both"/>
        <w:rPr>
          <w:rFonts w:ascii="Times New Roman" w:hAnsi="Times New Roman" w:cs="Times New Roman"/>
          <w:i/>
          <w:color w:val="000000" w:themeColor="text1"/>
          <w:sz w:val="24"/>
          <w:szCs w:val="24"/>
        </w:rPr>
      </w:pPr>
    </w:p>
    <w:p w14:paraId="0A8DD008" w14:textId="77777777" w:rsidR="003111AF" w:rsidRPr="00F10029" w:rsidRDefault="003111AF" w:rsidP="003111AF">
      <w:pPr>
        <w:spacing w:after="0" w:line="240" w:lineRule="auto"/>
        <w:jc w:val="both"/>
        <w:rPr>
          <w:rFonts w:ascii="Times New Roman" w:hAnsi="Times New Roman" w:cs="Times New Roman"/>
          <w:i/>
          <w:color w:val="000000" w:themeColor="text1"/>
          <w:sz w:val="24"/>
          <w:szCs w:val="24"/>
        </w:rPr>
      </w:pPr>
    </w:p>
    <w:p w14:paraId="6D80B76E" w14:textId="4B22A12B" w:rsidR="003111AF" w:rsidRPr="00F10029" w:rsidRDefault="003111AF" w:rsidP="003111AF">
      <w:pPr>
        <w:spacing w:after="0" w:line="240" w:lineRule="auto"/>
        <w:jc w:val="both"/>
        <w:rPr>
          <w:rFonts w:ascii="Times New Roman" w:hAnsi="Times New Roman" w:cs="Times New Roman"/>
          <w:i/>
          <w:color w:val="000000" w:themeColor="text1"/>
          <w:sz w:val="24"/>
          <w:szCs w:val="24"/>
        </w:rPr>
      </w:pPr>
      <w:r w:rsidRPr="00F10029">
        <w:rPr>
          <w:rFonts w:ascii="Times New Roman" w:hAnsi="Times New Roman" w:cs="Times New Roman"/>
          <w:i/>
          <w:color w:val="000000" w:themeColor="text1"/>
          <w:sz w:val="24"/>
          <w:szCs w:val="24"/>
        </w:rPr>
        <w:lastRenderedPageBreak/>
        <w:t>Analysis Technique</w:t>
      </w:r>
    </w:p>
    <w:p w14:paraId="34501CB2" w14:textId="77777777" w:rsidR="00280E32" w:rsidRPr="00F10029" w:rsidRDefault="003111AF" w:rsidP="00280E32">
      <w:pPr>
        <w:spacing w:after="0" w:line="240" w:lineRule="auto"/>
        <w:jc w:val="both"/>
        <w:rPr>
          <w:rFonts w:ascii="Times New Roman" w:hAnsi="Times New Roman" w:cs="Times New Roman"/>
          <w:color w:val="000000" w:themeColor="text1"/>
          <w:sz w:val="24"/>
          <w:szCs w:val="24"/>
        </w:rPr>
      </w:pPr>
      <w:r w:rsidRPr="00F10029">
        <w:rPr>
          <w:rFonts w:ascii="Times New Roman" w:hAnsi="Times New Roman" w:cs="Times New Roman"/>
          <w:color w:val="000000" w:themeColor="text1"/>
          <w:sz w:val="24"/>
          <w:szCs w:val="24"/>
        </w:rPr>
        <w:t>This study employs two analytical approaches: Average Abnormal Return (AAR) and Trading Volume Activity (TVA). AAR is used to measure the average abnormal changes in stock returns compared to their expected normal levels, highlighting the direct impact of specific announcements on stock price movements. Additionally, TVA is incorporated to examine investor behavior by analyzing changes in trading volume activity. The combination of these approaches provides a more comprehensive understanding of market reactions and investor behavior during the observation period (</w:t>
      </w:r>
      <w:hyperlink w:anchor="Brown1985" w:history="1">
        <w:r w:rsidRPr="00F10029">
          <w:rPr>
            <w:rStyle w:val="Hyperlink"/>
            <w:rFonts w:ascii="Times New Roman" w:hAnsi="Times New Roman" w:cs="Times New Roman"/>
            <w:sz w:val="24"/>
            <w:szCs w:val="24"/>
            <w:u w:val="none"/>
          </w:rPr>
          <w:t>Brown &amp; Warner, 1985</w:t>
        </w:r>
      </w:hyperlink>
      <w:r w:rsidRPr="00F10029">
        <w:rPr>
          <w:rFonts w:ascii="Times New Roman" w:hAnsi="Times New Roman" w:cs="Times New Roman"/>
          <w:color w:val="000000" w:themeColor="text1"/>
          <w:sz w:val="24"/>
          <w:szCs w:val="24"/>
        </w:rPr>
        <w:t xml:space="preserve">). </w:t>
      </w:r>
    </w:p>
    <w:p w14:paraId="1720D5AF" w14:textId="157493A0" w:rsidR="003111AF" w:rsidRPr="00F10029" w:rsidRDefault="003111AF" w:rsidP="00280E32">
      <w:pPr>
        <w:spacing w:after="0" w:line="240" w:lineRule="auto"/>
        <w:ind w:firstLine="567"/>
        <w:jc w:val="both"/>
        <w:rPr>
          <w:rFonts w:ascii="Times New Roman" w:hAnsi="Times New Roman" w:cs="Times New Roman"/>
          <w:color w:val="000000" w:themeColor="text1"/>
          <w:sz w:val="24"/>
          <w:szCs w:val="24"/>
        </w:rPr>
      </w:pPr>
      <w:r w:rsidRPr="00F10029">
        <w:rPr>
          <w:rFonts w:ascii="Times New Roman" w:hAnsi="Times New Roman" w:cs="Times New Roman"/>
          <w:color w:val="000000" w:themeColor="text1"/>
          <w:sz w:val="24"/>
          <w:szCs w:val="24"/>
        </w:rPr>
        <w:t xml:space="preserve">The steps in carrying out the analysis technique are as follows </w:t>
      </w:r>
      <w:r w:rsidRPr="00F10029">
        <w:rPr>
          <w:rFonts w:ascii="Times New Roman" w:hAnsi="Times New Roman" w:cs="Times New Roman"/>
          <w:color w:val="000000" w:themeColor="text1"/>
          <w:sz w:val="24"/>
          <w:szCs w:val="24"/>
        </w:rPr>
        <w:fldChar w:fldCharType="begin" w:fldLock="1"/>
      </w:r>
      <w:r w:rsidRPr="00F10029">
        <w:rPr>
          <w:rFonts w:ascii="Times New Roman" w:hAnsi="Times New Roman" w:cs="Times New Roman"/>
          <w:color w:val="000000" w:themeColor="text1"/>
          <w:sz w:val="24"/>
          <w:szCs w:val="24"/>
        </w:rPr>
        <w:instrText>ADDIN CSL_CITATION {"citationItems":[{"id":"ITEM-1","itemData":{"DOI":"10.1016/0304-405X(85)90042-X","ISSN":"0304405X","abstract":"This paper examines properties of daily stock returns and how the particular characteristics of these data affect event study methodologies. Daily data generally present few difficulties for event studies. Standard procedures are typically well-specified even when special daily data characteristics are ignored. However, recognition of autocorrelation in daily excess returns and changes in their variance conditional on an event can sometimes be advantageous. In addition, tests ignoring cross-sectional dependence can be well-specified and have higher power than tests which account for potential dependence. © 1985.","author":[{"dropping-particle":"","family":"Brown","given":"Stephen J.","non-dropping-particle":"","parse-names":false,"suffix":""},{"dropping-particle":"","family":"Warner","given":"Jerold B.","non-dropping-particle":"","parse-names":false,"suffix":""}],"container-title":"Journal of Financial Economics","id":"ITEM-1","issued":{"date-parts":[["1985"]]},"page":"3-31","title":"Using daily stock returns: The case of event studies","type":"article-journal","volume":"14"},"uris":["http://www.mendeley.com/documents/?uuid=6a1ae93e-8850-4e2a-8a01-edd4bdbdc747","http://www.mendeley.com/documents/?uuid=c9874d32-5e0f-45d7-9ab9-35bf0ba4ae76"]}],"mendeley":{"formattedCitation":"(Brown &amp; Warner, 1985)","plainTextFormattedCitation":"(Brown &amp; Warner, 1985)","previouslyFormattedCitation":"(Brown &amp; Warner, 1985)"},"properties":{"noteIndex":0},"schema":"https://github.com/citation-style-language/schema/raw/master/csl-citation.json"}</w:instrText>
      </w:r>
      <w:r w:rsidRPr="00F10029">
        <w:rPr>
          <w:rFonts w:ascii="Times New Roman" w:hAnsi="Times New Roman" w:cs="Times New Roman"/>
          <w:color w:val="000000" w:themeColor="text1"/>
          <w:sz w:val="24"/>
          <w:szCs w:val="24"/>
        </w:rPr>
        <w:fldChar w:fldCharType="separate"/>
      </w:r>
      <w:hyperlink w:anchor="Brown1985" w:history="1">
        <w:r w:rsidRPr="00F10029">
          <w:rPr>
            <w:rStyle w:val="Hyperlink"/>
            <w:rFonts w:ascii="Times New Roman" w:hAnsi="Times New Roman" w:cs="Times New Roman"/>
            <w:noProof/>
            <w:sz w:val="24"/>
            <w:szCs w:val="24"/>
            <w:u w:val="none"/>
          </w:rPr>
          <w:t>(Brown &amp; Warner, 1985</w:t>
        </w:r>
      </w:hyperlink>
      <w:r w:rsidRPr="00F10029">
        <w:rPr>
          <w:rFonts w:ascii="Times New Roman" w:hAnsi="Times New Roman" w:cs="Times New Roman"/>
          <w:noProof/>
          <w:color w:val="000000" w:themeColor="text1"/>
          <w:sz w:val="24"/>
          <w:szCs w:val="24"/>
        </w:rPr>
        <w:t>)</w:t>
      </w:r>
      <w:r w:rsidRPr="00F10029">
        <w:rPr>
          <w:rFonts w:ascii="Times New Roman" w:hAnsi="Times New Roman" w:cs="Times New Roman"/>
          <w:color w:val="000000" w:themeColor="text1"/>
          <w:sz w:val="24"/>
          <w:szCs w:val="24"/>
        </w:rPr>
        <w:fldChar w:fldCharType="end"/>
      </w:r>
      <w:r w:rsidRPr="00F10029">
        <w:rPr>
          <w:rFonts w:ascii="Times New Roman" w:hAnsi="Times New Roman" w:cs="Times New Roman"/>
          <w:color w:val="000000" w:themeColor="text1"/>
          <w:sz w:val="24"/>
          <w:szCs w:val="24"/>
        </w:rPr>
        <w:t xml:space="preserve">; </w:t>
      </w:r>
      <w:r w:rsidRPr="00F10029">
        <w:rPr>
          <w:rFonts w:ascii="Times New Roman" w:hAnsi="Times New Roman" w:cs="Times New Roman"/>
          <w:color w:val="000000" w:themeColor="text1"/>
          <w:sz w:val="24"/>
          <w:szCs w:val="24"/>
        </w:rPr>
        <w:fldChar w:fldCharType="begin" w:fldLock="1"/>
      </w:r>
      <w:r w:rsidRPr="00F10029">
        <w:rPr>
          <w:rFonts w:ascii="Times New Roman" w:hAnsi="Times New Roman" w:cs="Times New Roman"/>
          <w:color w:val="000000" w:themeColor="text1"/>
          <w:sz w:val="24"/>
          <w:szCs w:val="24"/>
        </w:rPr>
        <w:instrText>ADDIN CSL_CITATION {"citationItems":[{"id":"ITEM-1","itemData":{"ISBN":"9792124780","author":[{"dropping-particle":"","family":"Tandelilin","given":"Eduardus","non-dropping-particle":"","parse-names":false,"suffix":""}],"id":"ITEM-1","issued":{"date-parts":[["2010"]]},"publisher":"Kanisius","title":"Portofolio dan Investasi: Teori dan aplikasi","type":"book"},"uris":["http://www.mendeley.com/documents/?uuid=d121fc8a-fd29-4ad5-8556-def467383de1"]}],"mendeley":{"formattedCitation":"(Tandelilin, 2010)","plainTextFormattedCitation":"(Tandelilin, 2010)","previouslyFormattedCitation":"(Tandelilin, 2010)"},"properties":{"noteIndex":0},"schema":"https://github.com/citation-style-language/schema/raw/master/csl-citation.json"}</w:instrText>
      </w:r>
      <w:r w:rsidRPr="00F10029">
        <w:rPr>
          <w:rFonts w:ascii="Times New Roman" w:hAnsi="Times New Roman" w:cs="Times New Roman"/>
          <w:color w:val="000000" w:themeColor="text1"/>
          <w:sz w:val="24"/>
          <w:szCs w:val="24"/>
        </w:rPr>
        <w:fldChar w:fldCharType="separate"/>
      </w:r>
      <w:r w:rsidRPr="00F10029">
        <w:rPr>
          <w:rFonts w:ascii="Times New Roman" w:hAnsi="Times New Roman" w:cs="Times New Roman"/>
          <w:noProof/>
          <w:color w:val="000000" w:themeColor="text1"/>
          <w:sz w:val="24"/>
          <w:szCs w:val="24"/>
        </w:rPr>
        <w:t>(</w:t>
      </w:r>
      <w:hyperlink w:anchor="Tandelilin2010" w:history="1">
        <w:r w:rsidRPr="00F10029">
          <w:rPr>
            <w:rStyle w:val="Hyperlink"/>
            <w:rFonts w:ascii="Times New Roman" w:hAnsi="Times New Roman" w:cs="Times New Roman"/>
            <w:noProof/>
            <w:sz w:val="24"/>
            <w:szCs w:val="24"/>
            <w:u w:val="none"/>
          </w:rPr>
          <w:t>Tandelilin, 2010</w:t>
        </w:r>
      </w:hyperlink>
      <w:r w:rsidRPr="00F10029">
        <w:rPr>
          <w:rFonts w:ascii="Times New Roman" w:hAnsi="Times New Roman" w:cs="Times New Roman"/>
          <w:noProof/>
          <w:color w:val="000000" w:themeColor="text1"/>
          <w:sz w:val="24"/>
          <w:szCs w:val="24"/>
        </w:rPr>
        <w:t>)</w:t>
      </w:r>
      <w:r w:rsidRPr="00F10029">
        <w:rPr>
          <w:rFonts w:ascii="Times New Roman" w:hAnsi="Times New Roman" w:cs="Times New Roman"/>
          <w:color w:val="000000" w:themeColor="text1"/>
          <w:sz w:val="24"/>
          <w:szCs w:val="24"/>
        </w:rPr>
        <w:fldChar w:fldCharType="end"/>
      </w:r>
      <w:r w:rsidRPr="00F10029">
        <w:rPr>
          <w:rFonts w:ascii="Times New Roman" w:hAnsi="Times New Roman" w:cs="Times New Roman"/>
          <w:color w:val="000000" w:themeColor="text1"/>
          <w:sz w:val="24"/>
          <w:szCs w:val="24"/>
        </w:rPr>
        <w:t xml:space="preserve">; </w:t>
      </w:r>
      <w:r w:rsidRPr="00F10029">
        <w:rPr>
          <w:rFonts w:ascii="Times New Roman" w:hAnsi="Times New Roman" w:cs="Times New Roman"/>
          <w:color w:val="000000" w:themeColor="text1"/>
          <w:sz w:val="24"/>
          <w:szCs w:val="24"/>
        </w:rPr>
        <w:fldChar w:fldCharType="begin" w:fldLock="1"/>
      </w:r>
      <w:r w:rsidRPr="00F10029">
        <w:rPr>
          <w:rFonts w:ascii="Times New Roman" w:hAnsi="Times New Roman" w:cs="Times New Roman"/>
          <w:color w:val="000000" w:themeColor="text1"/>
          <w:sz w:val="24"/>
          <w:szCs w:val="24"/>
        </w:rPr>
        <w:instrText>ADDIN CSL_CITATION {"citationItems":[{"id":"ITEM-1","itemData":{"DOI":"10.1016/j.frl.2017.03.001","ISSN":"15446123","abstract":"This paper investigates the effect of herding behavior on excessive market idiosyncratic volatility in the U.S. stock market at a sectoral level. We carefully modify the cross sectional absolute deviation model to include trading volume and investors’ sentiment as herding triggers, and show that herding is indeed present in almost every sector of the U.S. stock market during turmoil periods. Furthermore, our particularly designed GJR-GARCH model provides new insights on the effect of herding and volume turnover on the conditional volatility. The sample covers all listed companies in the American stock market over four major turmoil periods.","author":[{"dropping-particle":"","family":"BenSaïda","given":"Ahmed","non-dropping-particle":"","parse-names":false,"suffix":""}],"container-title":"Finance Research Letters","id":"ITEM-1","issued":{"date-parts":[["2017"]]},"page":"121-132","title":"Herding effect on idiosyncratic volatility in U.S. industries","type":"article-journal","volume":"23"},"uris":["http://www.mendeley.com/documents/?uuid=3e35c634-cb45-47da-9b77-8b20ad9ab172","http://www.mendeley.com/documents/?uuid=e109741d-20cd-40cf-8df5-473b57d4b8f4"]}],"mendeley":{"formattedCitation":"(BenSaïda, 2017)","plainTextFormattedCitation":"(BenSaïda, 2017)","previouslyFormattedCitation":"(BenSaïda, 2017)"},"properties":{"noteIndex":0},"schema":"https://github.com/citation-style-language/schema/raw/master/csl-citation.json"}</w:instrText>
      </w:r>
      <w:r w:rsidRPr="00F10029">
        <w:rPr>
          <w:rFonts w:ascii="Times New Roman" w:hAnsi="Times New Roman" w:cs="Times New Roman"/>
          <w:color w:val="000000" w:themeColor="text1"/>
          <w:sz w:val="24"/>
          <w:szCs w:val="24"/>
        </w:rPr>
        <w:fldChar w:fldCharType="separate"/>
      </w:r>
      <w:r w:rsidRPr="00F10029">
        <w:rPr>
          <w:rFonts w:ascii="Times New Roman" w:hAnsi="Times New Roman" w:cs="Times New Roman"/>
          <w:noProof/>
          <w:color w:val="000000" w:themeColor="text1"/>
          <w:sz w:val="24"/>
          <w:szCs w:val="24"/>
        </w:rPr>
        <w:t>(</w:t>
      </w:r>
      <w:hyperlink w:anchor="BenSaïda2017" w:history="1">
        <w:r w:rsidRPr="00F10029">
          <w:rPr>
            <w:rStyle w:val="Hyperlink"/>
            <w:rFonts w:ascii="Times New Roman" w:hAnsi="Times New Roman" w:cs="Times New Roman"/>
            <w:noProof/>
            <w:sz w:val="24"/>
            <w:szCs w:val="24"/>
            <w:u w:val="none"/>
          </w:rPr>
          <w:t>BenSaïda, 2017</w:t>
        </w:r>
      </w:hyperlink>
      <w:r w:rsidRPr="00F10029">
        <w:rPr>
          <w:rFonts w:ascii="Times New Roman" w:hAnsi="Times New Roman" w:cs="Times New Roman"/>
          <w:noProof/>
          <w:color w:val="000000" w:themeColor="text1"/>
          <w:sz w:val="24"/>
          <w:szCs w:val="24"/>
        </w:rPr>
        <w:t>)</w:t>
      </w:r>
      <w:r w:rsidRPr="00F10029">
        <w:rPr>
          <w:rFonts w:ascii="Times New Roman" w:hAnsi="Times New Roman" w:cs="Times New Roman"/>
          <w:color w:val="000000" w:themeColor="text1"/>
          <w:sz w:val="24"/>
          <w:szCs w:val="24"/>
        </w:rPr>
        <w:fldChar w:fldCharType="end"/>
      </w:r>
      <w:r w:rsidRPr="00F10029">
        <w:rPr>
          <w:rFonts w:ascii="Times New Roman" w:hAnsi="Times New Roman" w:cs="Times New Roman"/>
          <w:color w:val="000000" w:themeColor="text1"/>
          <w:sz w:val="24"/>
          <w:szCs w:val="24"/>
        </w:rPr>
        <w:t xml:space="preserve">; </w:t>
      </w:r>
      <w:r w:rsidRPr="00F10029">
        <w:rPr>
          <w:rFonts w:ascii="Times New Roman" w:hAnsi="Times New Roman" w:cs="Times New Roman"/>
          <w:color w:val="000000" w:themeColor="text1"/>
          <w:sz w:val="24"/>
          <w:szCs w:val="24"/>
        </w:rPr>
        <w:fldChar w:fldCharType="begin" w:fldLock="1"/>
      </w:r>
      <w:r w:rsidRPr="00F10029">
        <w:rPr>
          <w:rFonts w:ascii="Times New Roman" w:hAnsi="Times New Roman" w:cs="Times New Roman"/>
          <w:color w:val="000000" w:themeColor="text1"/>
          <w:sz w:val="24"/>
          <w:szCs w:val="24"/>
        </w:rPr>
        <w:instrText>ADDIN CSL_CITATION {"citationItems":[{"id":"ITEM-1","itemData":{"ISBN":"978-0-07-337577-9","author":[{"dropping-particle":"","family":"Gujarati","given":"Damodar N.","non-dropping-particle":"","parse-names":false,"suffix":""},{"dropping-particle":"","family":"Porter","given":"Dawn C.","non-dropping-particle":"","parse-names":false,"suffix":""}],"edition":"5","id":"ITEM-1","issued":{"date-parts":[["2009"]]},"publisher":"McGraw-Hill/Irwin","publisher-place":"New York","title":"Basic Econometrics","type":"book"},"uris":["http://www.mendeley.com/documents/?uuid=f8058a38-997a-49f8-8dc8-bbcddcaf9f26","http://www.mendeley.com/documents/?uuid=127c10d6-bba2-43db-adfa-70d84c4d0b4a"]}],"mendeley":{"formattedCitation":"(Gujarati &amp; Porter, 2009)","plainTextFormattedCitation":"(Gujarati &amp; Porter, 2009)","previouslyFormattedCitation":"(Gujarati &amp; Porter, 2009)"},"properties":{"noteIndex":0},"schema":"https://github.com/citation-style-language/schema/raw/master/csl-citation.json"}</w:instrText>
      </w:r>
      <w:r w:rsidRPr="00F10029">
        <w:rPr>
          <w:rFonts w:ascii="Times New Roman" w:hAnsi="Times New Roman" w:cs="Times New Roman"/>
          <w:color w:val="000000" w:themeColor="text1"/>
          <w:sz w:val="24"/>
          <w:szCs w:val="24"/>
        </w:rPr>
        <w:fldChar w:fldCharType="separate"/>
      </w:r>
      <w:r w:rsidRPr="00F10029">
        <w:rPr>
          <w:rFonts w:ascii="Times New Roman" w:hAnsi="Times New Roman" w:cs="Times New Roman"/>
          <w:noProof/>
          <w:color w:val="000000" w:themeColor="text1"/>
          <w:sz w:val="24"/>
          <w:szCs w:val="24"/>
        </w:rPr>
        <w:t>(</w:t>
      </w:r>
      <w:hyperlink w:anchor="Gujarati2009" w:history="1">
        <w:r w:rsidRPr="00F10029">
          <w:rPr>
            <w:rStyle w:val="Hyperlink"/>
            <w:rFonts w:ascii="Times New Roman" w:hAnsi="Times New Roman" w:cs="Times New Roman"/>
            <w:noProof/>
            <w:sz w:val="24"/>
            <w:szCs w:val="24"/>
            <w:u w:val="none"/>
          </w:rPr>
          <w:t>Gujarati &amp; Porter, 2009</w:t>
        </w:r>
      </w:hyperlink>
      <w:r w:rsidRPr="00F10029">
        <w:rPr>
          <w:rFonts w:ascii="Times New Roman" w:hAnsi="Times New Roman" w:cs="Times New Roman"/>
          <w:noProof/>
          <w:color w:val="000000" w:themeColor="text1"/>
          <w:sz w:val="24"/>
          <w:szCs w:val="24"/>
        </w:rPr>
        <w:t>)</w:t>
      </w:r>
      <w:r w:rsidRPr="00F10029">
        <w:rPr>
          <w:rFonts w:ascii="Times New Roman" w:hAnsi="Times New Roman" w:cs="Times New Roman"/>
          <w:color w:val="000000" w:themeColor="text1"/>
          <w:sz w:val="24"/>
          <w:szCs w:val="24"/>
        </w:rPr>
        <w:fldChar w:fldCharType="end"/>
      </w:r>
      <w:r w:rsidRPr="00F10029">
        <w:rPr>
          <w:rFonts w:ascii="Times New Roman" w:hAnsi="Times New Roman" w:cs="Times New Roman"/>
          <w:color w:val="000000" w:themeColor="text1"/>
          <w:sz w:val="24"/>
          <w:szCs w:val="24"/>
        </w:rPr>
        <w:t>:</w:t>
      </w:r>
    </w:p>
    <w:p w14:paraId="61B259F6" w14:textId="77777777" w:rsidR="003111AF" w:rsidRPr="00F10029" w:rsidRDefault="003111AF" w:rsidP="004F3E26">
      <w:pPr>
        <w:pStyle w:val="ListParagraph"/>
        <w:numPr>
          <w:ilvl w:val="0"/>
          <w:numId w:val="63"/>
        </w:numPr>
        <w:spacing w:after="0" w:line="240" w:lineRule="auto"/>
        <w:ind w:left="567" w:hanging="567"/>
        <w:jc w:val="both"/>
        <w:rPr>
          <w:rFonts w:ascii="Times New Roman" w:hAnsi="Times New Roman" w:cs="Times New Roman"/>
          <w:color w:val="000000" w:themeColor="text1"/>
          <w:sz w:val="24"/>
          <w:szCs w:val="24"/>
        </w:rPr>
      </w:pPr>
      <w:r w:rsidRPr="00F10029">
        <w:rPr>
          <w:rFonts w:ascii="Times New Roman" w:hAnsi="Times New Roman" w:cs="Times New Roman"/>
          <w:color w:val="000000" w:themeColor="text1"/>
          <w:sz w:val="24"/>
          <w:szCs w:val="24"/>
        </w:rPr>
        <w:t>It identifies the events, the date of the announcement, the first case of COVID-19 in Indonesia, and its impact on stock issuers in the pharmaceutical, food and beverages, transportation, and telecommunication sectors listed on the IDX in 2020.</w:t>
      </w:r>
    </w:p>
    <w:p w14:paraId="123225D6" w14:textId="77777777" w:rsidR="003111AF" w:rsidRPr="00F10029" w:rsidRDefault="003111AF" w:rsidP="004F3E26">
      <w:pPr>
        <w:pStyle w:val="ListParagraph"/>
        <w:numPr>
          <w:ilvl w:val="0"/>
          <w:numId w:val="63"/>
        </w:numPr>
        <w:spacing w:after="0" w:line="240" w:lineRule="auto"/>
        <w:ind w:left="567" w:hanging="567"/>
        <w:jc w:val="both"/>
        <w:rPr>
          <w:rFonts w:ascii="Times New Roman" w:hAnsi="Times New Roman" w:cs="Times New Roman"/>
          <w:color w:val="000000" w:themeColor="text1"/>
          <w:sz w:val="24"/>
          <w:szCs w:val="24"/>
        </w:rPr>
      </w:pPr>
      <w:r w:rsidRPr="00F10029">
        <w:rPr>
          <w:rFonts w:ascii="Times New Roman" w:hAnsi="Times New Roman" w:cs="Times New Roman"/>
          <w:color w:val="000000" w:themeColor="text1"/>
          <w:sz w:val="24"/>
          <w:szCs w:val="24"/>
        </w:rPr>
        <w:t>The observation period took 21 days: ten days before the announcement date (t-10), (t-0), and ten days after the announcement date (t+10). Thus, the observation period determines to anticipate premature market reactions before the announcement date.</w:t>
      </w:r>
    </w:p>
    <w:p w14:paraId="148F3B44" w14:textId="6863697B" w:rsidR="004F3E26" w:rsidRPr="00F10029" w:rsidRDefault="004F3E26" w:rsidP="004F3E26">
      <w:pPr>
        <w:pStyle w:val="ListParagraph"/>
        <w:spacing w:after="0" w:line="240" w:lineRule="auto"/>
        <w:ind w:left="567"/>
        <w:jc w:val="both"/>
        <w:rPr>
          <w:rFonts w:ascii="Times New Roman" w:hAnsi="Times New Roman" w:cs="Times New Roman"/>
          <w:color w:val="000000" w:themeColor="text1"/>
          <w:sz w:val="24"/>
          <w:szCs w:val="24"/>
        </w:rPr>
      </w:pPr>
    </w:p>
    <w:p w14:paraId="28E232B3" w14:textId="48D274DE" w:rsidR="003111AF" w:rsidRPr="00F10029" w:rsidRDefault="004F3E26" w:rsidP="004F3E26">
      <w:pPr>
        <w:pStyle w:val="ListParagraph"/>
        <w:spacing w:after="0" w:line="240" w:lineRule="auto"/>
        <w:ind w:left="567" w:hanging="567"/>
        <w:jc w:val="both"/>
        <w:rPr>
          <w:rFonts w:ascii="Times New Roman" w:hAnsi="Times New Roman" w:cs="Times New Roman"/>
          <w:color w:val="000000" w:themeColor="text1"/>
          <w:sz w:val="24"/>
          <w:szCs w:val="24"/>
        </w:rPr>
      </w:pPr>
      <w:r w:rsidRPr="00F10029">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32952101" wp14:editId="22B3290C">
                <wp:simplePos x="0" y="0"/>
                <wp:positionH relativeFrom="column">
                  <wp:posOffset>719990</wp:posOffset>
                </wp:positionH>
                <wp:positionV relativeFrom="paragraph">
                  <wp:posOffset>25969</wp:posOffset>
                </wp:positionV>
                <wp:extent cx="4495800" cy="1130969"/>
                <wp:effectExtent l="0" t="0" r="19050" b="12065"/>
                <wp:wrapSquare wrapText="bothSides"/>
                <wp:docPr id="13" name="Group 13"/>
                <wp:cNvGraphicFramePr/>
                <a:graphic xmlns:a="http://schemas.openxmlformats.org/drawingml/2006/main">
                  <a:graphicData uri="http://schemas.microsoft.com/office/word/2010/wordprocessingGroup">
                    <wpg:wgp>
                      <wpg:cNvGrpSpPr/>
                      <wpg:grpSpPr>
                        <a:xfrm>
                          <a:off x="0" y="0"/>
                          <a:ext cx="4495800" cy="1130969"/>
                          <a:chOff x="0" y="0"/>
                          <a:chExt cx="3362325" cy="952500"/>
                        </a:xfrm>
                      </wpg:grpSpPr>
                      <wpg:grpSp>
                        <wpg:cNvPr id="14" name="Group 14"/>
                        <wpg:cNvGrpSpPr/>
                        <wpg:grpSpPr>
                          <a:xfrm>
                            <a:off x="0" y="476250"/>
                            <a:ext cx="3362325" cy="476250"/>
                            <a:chOff x="0" y="476250"/>
                            <a:chExt cx="3362325" cy="476250"/>
                          </a:xfrm>
                        </wpg:grpSpPr>
                        <wps:wsp>
                          <wps:cNvPr id="15" name="Straight Arrow Connector 15"/>
                          <wps:cNvCnPr/>
                          <wps:spPr>
                            <a:xfrm flipV="1">
                              <a:off x="152400" y="571500"/>
                              <a:ext cx="2990850" cy="1"/>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16" name="Rounded Rectangle 7"/>
                          <wps:cNvSpPr/>
                          <wps:spPr>
                            <a:xfrm>
                              <a:off x="0" y="664121"/>
                              <a:ext cx="514350" cy="27622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A7451E2" w14:textId="77777777" w:rsidR="003111AF" w:rsidRDefault="003111AF" w:rsidP="003111AF">
                                <w:r>
                                  <w:t>t-10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Straight Connector 17"/>
                          <wps:cNvCnPr/>
                          <wps:spPr>
                            <a:xfrm>
                              <a:off x="1619250" y="476250"/>
                              <a:ext cx="0" cy="1905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Rounded Rectangle 9"/>
                          <wps:cNvSpPr/>
                          <wps:spPr>
                            <a:xfrm>
                              <a:off x="1428750" y="666750"/>
                              <a:ext cx="514350" cy="285750"/>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EA4E107" w14:textId="77777777" w:rsidR="003111AF" w:rsidRDefault="003111AF" w:rsidP="003111AF">
                                <w:pPr>
                                  <w:jc w:val="center"/>
                                </w:pPr>
                                <w:r>
                                  <w:t>t-0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ounded Rectangle 10"/>
                          <wps:cNvSpPr/>
                          <wps:spPr>
                            <a:xfrm>
                              <a:off x="2847975" y="666750"/>
                              <a:ext cx="514350" cy="27622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30F6FA0" w14:textId="77777777" w:rsidR="003111AF" w:rsidRDefault="003111AF" w:rsidP="003111AF">
                                <w:r>
                                  <w:t>t+10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0" name="Rounded Rectangle 5"/>
                        <wps:cNvSpPr/>
                        <wps:spPr>
                          <a:xfrm>
                            <a:off x="838200" y="0"/>
                            <a:ext cx="1581150" cy="42862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BC1E5BB" w14:textId="77777777" w:rsidR="003111AF" w:rsidRPr="009E0376" w:rsidRDefault="003111AF" w:rsidP="003111AF">
                              <w:pPr>
                                <w:jc w:val="center"/>
                                <w:rPr>
                                  <w:bCs/>
                                </w:rPr>
                              </w:pPr>
                              <w:r w:rsidRPr="009E0376">
                                <w:rPr>
                                  <w:bCs/>
                                </w:rPr>
                                <w:t>Observation Period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952101" id="Group 13" o:spid="_x0000_s1026" style="position:absolute;left:0;text-align:left;margin-left:56.7pt;margin-top:2.05pt;width:354pt;height:89.05pt;z-index:-251657216" coordsize="33623,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">
                <v:group id="Group 14" o:spid="_x0000_s1027" style="position:absolute;top:4762;width:33623;height:4763" coordorigin=",4762" coordsize="33623,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15" o:spid="_x0000_s1028" type="#_x0000_t32" style="position:absolute;left:1524;top:5715;width:2990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" strokecolor="#4f81bd [3204]" strokeweight="2pt">
                    <v:stroke startarrow="open" endarrow="open"/>
                    <v:shadow on="t" color="black" opacity="24903f" origin=",.5" offset="0,.55556mm"/>
                  </v:shape>
                  <v:roundrect id="Rounded Rectangle 7" o:spid="_x0000_s1029" style="position:absolute;top:6641;width:5143;height:2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" fillcolor="white [3201]" strokecolor="white [3212]" strokeweight="2pt">
                    <v:textbox>
                      <w:txbxContent>
                        <w:p w14:paraId="4A7451E2" w14:textId="77777777" w:rsidR="003111AF" w:rsidRDefault="003111AF" w:rsidP="003111AF">
                          <w:r>
                            <w:t>t-10</w:t>
                          </w:r>
                        </w:p>
                      </w:txbxContent>
                    </v:textbox>
                  </v:roundrect>
                  <v:line id="Straight Connector 17" o:spid="_x0000_s1030" style="position:absolute;visibility:visible;mso-wrap-style:square" from="16192,4762" to="16192,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" strokecolor="#4f81bd [3204]" strokeweight="2pt">
                    <v:shadow on="t" color="black" opacity="24903f" origin=",.5" offset="0,.55556mm"/>
                  </v:line>
                  <v:roundrect id="Rounded Rectangle 9" o:spid="_x0000_s1031" style="position:absolute;left:14287;top:6667;width:5144;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" fillcolor="white [3201]" strokecolor="white [3212]" strokeweight="2pt">
                    <v:textbox>
                      <w:txbxContent>
                        <w:p w14:paraId="2EA4E107" w14:textId="77777777" w:rsidR="003111AF" w:rsidRDefault="003111AF" w:rsidP="003111AF">
                          <w:pPr>
                            <w:jc w:val="center"/>
                          </w:pPr>
                          <w:r>
                            <w:t>t-0</w:t>
                          </w:r>
                        </w:p>
                      </w:txbxContent>
                    </v:textbox>
                  </v:roundrect>
                  <v:roundrect id="Rounded Rectangle 10" o:spid="_x0000_s1032" style="position:absolute;left:28479;top:6667;width:5144;height:2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" fillcolor="white [3201]" strokecolor="white [3212]" strokeweight="2pt">
                    <v:textbox>
                      <w:txbxContent>
                        <w:p w14:paraId="330F6FA0" w14:textId="77777777" w:rsidR="003111AF" w:rsidRDefault="003111AF" w:rsidP="003111AF">
                          <w:r>
                            <w:t>t+10</w:t>
                          </w:r>
                        </w:p>
                      </w:txbxContent>
                    </v:textbox>
                  </v:roundrect>
                </v:group>
                <v:roundrect id="Rounded Rectangle 5" o:spid="_x0000_s1033" style="position:absolute;left:8382;width:15811;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" fillcolor="white [3201]" strokecolor="white [3212]" strokeweight="2pt">
                  <v:textbox>
                    <w:txbxContent>
                      <w:p w14:paraId="3BC1E5BB" w14:textId="77777777" w:rsidR="003111AF" w:rsidRPr="009E0376" w:rsidRDefault="003111AF" w:rsidP="003111AF">
                        <w:pPr>
                          <w:jc w:val="center"/>
                          <w:rPr>
                            <w:bCs/>
                          </w:rPr>
                        </w:pPr>
                        <w:r w:rsidRPr="009E0376">
                          <w:rPr>
                            <w:bCs/>
                          </w:rPr>
                          <w:t>Observation Period</w:t>
                        </w:r>
                      </w:p>
                    </w:txbxContent>
                  </v:textbox>
                </v:roundrect>
                <w10:wrap type="square"/>
              </v:group>
            </w:pict>
          </mc:Fallback>
        </mc:AlternateContent>
      </w:r>
    </w:p>
    <w:p w14:paraId="08BFBA19" w14:textId="77777777" w:rsidR="003111AF" w:rsidRPr="00F10029" w:rsidRDefault="003111AF" w:rsidP="004F3E26">
      <w:pPr>
        <w:spacing w:after="0" w:line="240" w:lineRule="auto"/>
        <w:ind w:left="567" w:hanging="567"/>
        <w:rPr>
          <w:rFonts w:ascii="Times New Roman" w:hAnsi="Times New Roman" w:cs="Times New Roman"/>
          <w:sz w:val="24"/>
          <w:szCs w:val="24"/>
        </w:rPr>
      </w:pPr>
    </w:p>
    <w:p w14:paraId="58C160F7" w14:textId="77777777" w:rsidR="004F3E26" w:rsidRPr="00F10029" w:rsidRDefault="004F3E26" w:rsidP="004F3E26">
      <w:pPr>
        <w:spacing w:after="0" w:line="240" w:lineRule="auto"/>
        <w:ind w:left="567" w:hanging="567"/>
        <w:jc w:val="center"/>
        <w:rPr>
          <w:rFonts w:ascii="Times New Roman" w:hAnsi="Times New Roman" w:cs="Times New Roman"/>
          <w:bCs/>
        </w:rPr>
      </w:pPr>
    </w:p>
    <w:p w14:paraId="3353CCC0" w14:textId="77777777" w:rsidR="004F3E26" w:rsidRPr="00F10029" w:rsidRDefault="004F3E26" w:rsidP="004F3E26">
      <w:pPr>
        <w:spacing w:after="0" w:line="240" w:lineRule="auto"/>
        <w:ind w:left="567" w:hanging="567"/>
        <w:jc w:val="center"/>
        <w:rPr>
          <w:rFonts w:ascii="Times New Roman" w:hAnsi="Times New Roman" w:cs="Times New Roman"/>
          <w:bCs/>
        </w:rPr>
      </w:pPr>
    </w:p>
    <w:p w14:paraId="0329D9B7" w14:textId="77777777" w:rsidR="004F3E26" w:rsidRPr="00F10029" w:rsidRDefault="004F3E26" w:rsidP="004F3E26">
      <w:pPr>
        <w:spacing w:after="0" w:line="240" w:lineRule="auto"/>
        <w:ind w:left="567" w:hanging="567"/>
        <w:jc w:val="center"/>
        <w:rPr>
          <w:rFonts w:ascii="Times New Roman" w:hAnsi="Times New Roman" w:cs="Times New Roman"/>
          <w:bCs/>
        </w:rPr>
      </w:pPr>
    </w:p>
    <w:p w14:paraId="35DF47A3" w14:textId="77777777" w:rsidR="004F3E26" w:rsidRPr="00F10029" w:rsidRDefault="004F3E26" w:rsidP="004F3E26">
      <w:pPr>
        <w:spacing w:after="0" w:line="240" w:lineRule="auto"/>
        <w:ind w:left="567" w:hanging="567"/>
        <w:jc w:val="center"/>
        <w:rPr>
          <w:rFonts w:ascii="Times New Roman" w:hAnsi="Times New Roman" w:cs="Times New Roman"/>
          <w:bCs/>
        </w:rPr>
      </w:pPr>
    </w:p>
    <w:p w14:paraId="19681C98" w14:textId="77777777" w:rsidR="004F3E26" w:rsidRPr="00F10029" w:rsidRDefault="004F3E26" w:rsidP="004F3E26">
      <w:pPr>
        <w:spacing w:after="0" w:line="240" w:lineRule="auto"/>
        <w:ind w:left="567" w:hanging="567"/>
        <w:jc w:val="center"/>
        <w:rPr>
          <w:rFonts w:ascii="Times New Roman" w:hAnsi="Times New Roman" w:cs="Times New Roman"/>
          <w:bCs/>
        </w:rPr>
      </w:pPr>
    </w:p>
    <w:p w14:paraId="6EFE076B" w14:textId="77777777" w:rsidR="004F3E26" w:rsidRPr="00F10029" w:rsidRDefault="004F3E26" w:rsidP="004F3E26">
      <w:pPr>
        <w:spacing w:after="0" w:line="240" w:lineRule="auto"/>
        <w:ind w:left="567" w:hanging="567"/>
        <w:jc w:val="center"/>
        <w:rPr>
          <w:rFonts w:ascii="Times New Roman" w:hAnsi="Times New Roman" w:cs="Times New Roman"/>
          <w:bCs/>
        </w:rPr>
      </w:pPr>
    </w:p>
    <w:p w14:paraId="1219512B" w14:textId="4A1DA98B" w:rsidR="003111AF" w:rsidRPr="00F10029" w:rsidRDefault="003111AF" w:rsidP="004F3E26">
      <w:pPr>
        <w:spacing w:after="0" w:line="240" w:lineRule="auto"/>
        <w:ind w:left="567" w:hanging="567"/>
        <w:jc w:val="center"/>
        <w:rPr>
          <w:rFonts w:ascii="Times New Roman" w:hAnsi="Times New Roman" w:cs="Times New Roman"/>
          <w:bCs/>
        </w:rPr>
      </w:pPr>
      <w:r w:rsidRPr="00F10029">
        <w:rPr>
          <w:rFonts w:ascii="Times New Roman" w:hAnsi="Times New Roman" w:cs="Times New Roman"/>
          <w:bCs/>
        </w:rPr>
        <w:t>Figure 3.1</w:t>
      </w:r>
      <w:r w:rsidR="00280E32" w:rsidRPr="00F10029">
        <w:rPr>
          <w:rFonts w:ascii="Times New Roman" w:hAnsi="Times New Roman" w:cs="Times New Roman"/>
          <w:bCs/>
        </w:rPr>
        <w:t xml:space="preserve"> </w:t>
      </w:r>
      <w:r w:rsidRPr="00F10029">
        <w:rPr>
          <w:rFonts w:ascii="Times New Roman" w:hAnsi="Times New Roman" w:cs="Times New Roman"/>
          <w:bCs/>
        </w:rPr>
        <w:t>Research Event Windows</w:t>
      </w:r>
    </w:p>
    <w:p w14:paraId="5739E42A" w14:textId="77777777" w:rsidR="00280E32" w:rsidRPr="00F10029" w:rsidRDefault="00280E32" w:rsidP="004F3E26">
      <w:pPr>
        <w:spacing w:after="0" w:line="240" w:lineRule="auto"/>
        <w:ind w:left="567" w:hanging="567"/>
        <w:jc w:val="center"/>
        <w:rPr>
          <w:rFonts w:ascii="Times New Roman" w:hAnsi="Times New Roman" w:cs="Times New Roman"/>
          <w:b/>
          <w:sz w:val="24"/>
          <w:szCs w:val="24"/>
        </w:rPr>
      </w:pPr>
    </w:p>
    <w:p w14:paraId="704B9012" w14:textId="77777777" w:rsidR="003111AF" w:rsidRPr="00F10029" w:rsidRDefault="003111AF" w:rsidP="004F3E26">
      <w:pPr>
        <w:pStyle w:val="ListParagraph"/>
        <w:numPr>
          <w:ilvl w:val="0"/>
          <w:numId w:val="63"/>
        </w:numPr>
        <w:spacing w:after="0" w:line="240" w:lineRule="auto"/>
        <w:ind w:left="567" w:hanging="567"/>
        <w:jc w:val="both"/>
        <w:rPr>
          <w:rFonts w:ascii="Times New Roman" w:hAnsi="Times New Roman" w:cs="Times New Roman"/>
          <w:sz w:val="24"/>
          <w:szCs w:val="24"/>
        </w:rPr>
      </w:pPr>
      <w:r w:rsidRPr="00F10029">
        <w:rPr>
          <w:rFonts w:ascii="Times New Roman" w:hAnsi="Times New Roman" w:cs="Times New Roman"/>
          <w:sz w:val="24"/>
          <w:szCs w:val="24"/>
        </w:rPr>
        <w:t>The stock return using the equation</w:t>
      </w:r>
    </w:p>
    <w:p w14:paraId="1DE2FE40" w14:textId="3F6E4B02" w:rsidR="003111AF" w:rsidRPr="00F10029" w:rsidRDefault="004F3E26" w:rsidP="004F3E26">
      <w:pPr>
        <w:pStyle w:val="BodyText"/>
        <w:tabs>
          <w:tab w:val="left" w:pos="9214"/>
        </w:tabs>
        <w:spacing w:after="0"/>
        <w:ind w:left="567" w:hanging="567"/>
        <w:rPr>
          <w:bCs/>
          <w:lang w:val="id-ID"/>
        </w:rPr>
      </w:pPr>
      <w:r w:rsidRPr="00F10029">
        <w:rPr>
          <w:bCs/>
          <w:i/>
          <w:lang w:val="id-ID"/>
        </w:rPr>
        <w:t xml:space="preserve">          </w:t>
      </w:r>
      <w:r w:rsidR="003111AF" w:rsidRPr="00F10029">
        <w:rPr>
          <w:bCs/>
          <w:i/>
          <w:lang w:val="id-ID"/>
        </w:rPr>
        <w:t>Rit</w:t>
      </w:r>
      <w:r w:rsidR="003111AF" w:rsidRPr="00F10029">
        <w:rPr>
          <w:bCs/>
          <w:lang w:val="id-ID"/>
        </w:rPr>
        <w:t xml:space="preserve"> = </w:t>
      </w:r>
      <m:oMath>
        <m:f>
          <m:fPr>
            <m:ctrlPr>
              <w:rPr>
                <w:rFonts w:ascii="Cambria Math" w:hAnsi="Cambria Math"/>
                <w:bCs/>
                <w:i/>
                <w:lang w:val="id-ID"/>
              </w:rPr>
            </m:ctrlPr>
          </m:fPr>
          <m:num>
            <m:r>
              <w:rPr>
                <w:rFonts w:ascii="Cambria Math" w:hAnsi="Cambria Math"/>
                <w:lang w:val="id-ID"/>
              </w:rPr>
              <m:t>Pt-Pt-1</m:t>
            </m:r>
          </m:num>
          <m:den>
            <m:r>
              <w:rPr>
                <w:rFonts w:ascii="Cambria Math" w:hAnsi="Cambria Math"/>
                <w:lang w:val="id-ID"/>
              </w:rPr>
              <m:t>Pt-1</m:t>
            </m:r>
          </m:den>
        </m:f>
      </m:oMath>
      <w:r w:rsidR="003111AF" w:rsidRPr="00F10029">
        <w:rPr>
          <w:bCs/>
          <w:lang w:val="id-ID"/>
        </w:rPr>
        <w:t xml:space="preserve"> (4)</w:t>
      </w:r>
    </w:p>
    <w:p w14:paraId="28408C88" w14:textId="77777777" w:rsidR="003111AF" w:rsidRPr="00F10029" w:rsidRDefault="003111AF" w:rsidP="004F3E26">
      <w:pPr>
        <w:spacing w:after="0" w:line="240" w:lineRule="auto"/>
        <w:ind w:left="567"/>
        <w:jc w:val="both"/>
        <w:rPr>
          <w:rFonts w:ascii="Times New Roman" w:hAnsi="Times New Roman" w:cs="Times New Roman"/>
          <w:sz w:val="24"/>
          <w:szCs w:val="24"/>
        </w:rPr>
      </w:pPr>
      <w:r w:rsidRPr="00F10029">
        <w:rPr>
          <w:rFonts w:ascii="Times New Roman" w:hAnsi="Times New Roman" w:cs="Times New Roman"/>
          <w:sz w:val="24"/>
          <w:szCs w:val="24"/>
        </w:rPr>
        <w:t>Notes: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52"/>
        <w:gridCol w:w="5885"/>
      </w:tblGrid>
      <w:tr w:rsidR="004F3E26" w:rsidRPr="00F10029" w14:paraId="04261D51" w14:textId="20447079" w:rsidTr="004F3E26">
        <w:tc>
          <w:tcPr>
            <w:tcW w:w="846" w:type="dxa"/>
          </w:tcPr>
          <w:p w14:paraId="72852FAB" w14:textId="2AB46EEE" w:rsidR="004F3E26" w:rsidRPr="00F10029" w:rsidRDefault="004F3E26" w:rsidP="004F3E26">
            <w:pPr>
              <w:jc w:val="both"/>
              <w:rPr>
                <w:rFonts w:cs="Times New Roman"/>
                <w:szCs w:val="24"/>
              </w:rPr>
            </w:pPr>
            <w:r w:rsidRPr="00F10029">
              <w:rPr>
                <w:rFonts w:cs="Times New Roman"/>
                <w:szCs w:val="24"/>
              </w:rPr>
              <w:t>Ri, t</w:t>
            </w:r>
          </w:p>
        </w:tc>
        <w:tc>
          <w:tcPr>
            <w:tcW w:w="352" w:type="dxa"/>
          </w:tcPr>
          <w:p w14:paraId="7A82B9FD" w14:textId="6FD8DE1D" w:rsidR="004F3E26" w:rsidRPr="00F10029" w:rsidRDefault="004F3E26" w:rsidP="004F3E26">
            <w:pPr>
              <w:jc w:val="both"/>
              <w:rPr>
                <w:rFonts w:cs="Times New Roman"/>
                <w:szCs w:val="24"/>
              </w:rPr>
            </w:pPr>
            <w:r w:rsidRPr="00F10029">
              <w:rPr>
                <w:rFonts w:cs="Times New Roman"/>
                <w:szCs w:val="24"/>
              </w:rPr>
              <w:t>=</w:t>
            </w:r>
          </w:p>
        </w:tc>
        <w:tc>
          <w:tcPr>
            <w:tcW w:w="5885" w:type="dxa"/>
          </w:tcPr>
          <w:p w14:paraId="7C9BA1E7" w14:textId="5970775C" w:rsidR="004F3E26" w:rsidRPr="00F10029" w:rsidRDefault="004F3E26" w:rsidP="004F3E26">
            <w:pPr>
              <w:jc w:val="both"/>
              <w:rPr>
                <w:rFonts w:cs="Times New Roman"/>
                <w:szCs w:val="24"/>
              </w:rPr>
            </w:pPr>
            <w:r w:rsidRPr="00F10029">
              <w:rPr>
                <w:rFonts w:cs="Times New Roman"/>
                <w:szCs w:val="24"/>
              </w:rPr>
              <w:t xml:space="preserve">Daily return of i shares in t period </w:t>
            </w:r>
          </w:p>
        </w:tc>
      </w:tr>
      <w:tr w:rsidR="004F3E26" w:rsidRPr="00F10029" w14:paraId="53406431" w14:textId="799F13D9" w:rsidTr="004F3E26">
        <w:tc>
          <w:tcPr>
            <w:tcW w:w="846" w:type="dxa"/>
          </w:tcPr>
          <w:p w14:paraId="453F7063" w14:textId="5EDFEF0E" w:rsidR="004F3E26" w:rsidRPr="00F10029" w:rsidRDefault="004F3E26" w:rsidP="004F3E26">
            <w:pPr>
              <w:jc w:val="both"/>
              <w:rPr>
                <w:rFonts w:cs="Times New Roman"/>
                <w:szCs w:val="24"/>
              </w:rPr>
            </w:pPr>
            <w:r w:rsidRPr="00F10029">
              <w:rPr>
                <w:rFonts w:cs="Times New Roman"/>
                <w:szCs w:val="24"/>
              </w:rPr>
              <w:t>Pt</w:t>
            </w:r>
          </w:p>
        </w:tc>
        <w:tc>
          <w:tcPr>
            <w:tcW w:w="352" w:type="dxa"/>
          </w:tcPr>
          <w:p w14:paraId="2DC75624" w14:textId="6FF54EB3" w:rsidR="004F3E26" w:rsidRPr="00F10029" w:rsidRDefault="004F3E26" w:rsidP="004F3E26">
            <w:pPr>
              <w:jc w:val="both"/>
              <w:rPr>
                <w:rFonts w:cs="Times New Roman"/>
                <w:szCs w:val="24"/>
              </w:rPr>
            </w:pPr>
            <w:r w:rsidRPr="00F10029">
              <w:rPr>
                <w:rFonts w:cs="Times New Roman"/>
                <w:szCs w:val="24"/>
              </w:rPr>
              <w:t>=</w:t>
            </w:r>
          </w:p>
        </w:tc>
        <w:tc>
          <w:tcPr>
            <w:tcW w:w="5885" w:type="dxa"/>
          </w:tcPr>
          <w:p w14:paraId="66C972A0" w14:textId="213456DE" w:rsidR="004F3E26" w:rsidRPr="00F10029" w:rsidRDefault="004F3E26" w:rsidP="004F3E26">
            <w:pPr>
              <w:ind w:left="567" w:hanging="567"/>
              <w:jc w:val="both"/>
              <w:rPr>
                <w:rFonts w:cs="Times New Roman"/>
                <w:szCs w:val="24"/>
              </w:rPr>
            </w:pPr>
            <w:r w:rsidRPr="00F10029">
              <w:rPr>
                <w:rFonts w:cs="Times New Roman"/>
                <w:szCs w:val="24"/>
              </w:rPr>
              <w:t>S</w:t>
            </w:r>
            <w:r w:rsidRPr="00F10029">
              <w:rPr>
                <w:rFonts w:cs="Times New Roman"/>
                <w:szCs w:val="24"/>
              </w:rPr>
              <w:t>hare price in t period</w:t>
            </w:r>
          </w:p>
        </w:tc>
      </w:tr>
      <w:tr w:rsidR="004F3E26" w:rsidRPr="00F10029" w14:paraId="1158E148" w14:textId="593F5BA2" w:rsidTr="004F3E26">
        <w:tc>
          <w:tcPr>
            <w:tcW w:w="846" w:type="dxa"/>
          </w:tcPr>
          <w:p w14:paraId="68507FB8" w14:textId="6E6CCC79" w:rsidR="004F3E26" w:rsidRPr="00F10029" w:rsidRDefault="004F3E26" w:rsidP="004F3E26">
            <w:pPr>
              <w:jc w:val="both"/>
              <w:rPr>
                <w:rFonts w:cs="Times New Roman"/>
                <w:szCs w:val="24"/>
              </w:rPr>
            </w:pPr>
            <w:r w:rsidRPr="00F10029">
              <w:rPr>
                <w:rFonts w:cs="Times New Roman"/>
                <w:szCs w:val="24"/>
              </w:rPr>
              <w:t>Pt -1</w:t>
            </w:r>
          </w:p>
        </w:tc>
        <w:tc>
          <w:tcPr>
            <w:tcW w:w="352" w:type="dxa"/>
          </w:tcPr>
          <w:p w14:paraId="7340A077" w14:textId="5EED23A2" w:rsidR="004F3E26" w:rsidRPr="00F10029" w:rsidRDefault="004F3E26" w:rsidP="004F3E26">
            <w:pPr>
              <w:jc w:val="both"/>
              <w:rPr>
                <w:rFonts w:cs="Times New Roman"/>
                <w:szCs w:val="24"/>
              </w:rPr>
            </w:pPr>
            <w:r w:rsidRPr="00F10029">
              <w:rPr>
                <w:rFonts w:cs="Times New Roman"/>
                <w:szCs w:val="24"/>
              </w:rPr>
              <w:t>=</w:t>
            </w:r>
          </w:p>
        </w:tc>
        <w:tc>
          <w:tcPr>
            <w:tcW w:w="5885" w:type="dxa"/>
          </w:tcPr>
          <w:p w14:paraId="6EAB4B30" w14:textId="0ABAEF74" w:rsidR="004F3E26" w:rsidRPr="00F10029" w:rsidRDefault="004F3E26" w:rsidP="004F3E26">
            <w:pPr>
              <w:ind w:left="567" w:hanging="567"/>
              <w:jc w:val="both"/>
              <w:rPr>
                <w:rFonts w:cs="Times New Roman"/>
                <w:szCs w:val="24"/>
              </w:rPr>
            </w:pPr>
            <w:r w:rsidRPr="00F10029">
              <w:rPr>
                <w:rFonts w:cs="Times New Roman"/>
                <w:szCs w:val="24"/>
              </w:rPr>
              <w:t>Share price in t-1 period</w:t>
            </w:r>
          </w:p>
        </w:tc>
      </w:tr>
    </w:tbl>
    <w:p w14:paraId="58A5ACD7" w14:textId="77777777" w:rsidR="004F3E26" w:rsidRPr="00F10029" w:rsidRDefault="004F3E26" w:rsidP="004F3E26">
      <w:pPr>
        <w:spacing w:after="0" w:line="240" w:lineRule="auto"/>
        <w:ind w:left="567" w:hanging="567"/>
        <w:jc w:val="both"/>
        <w:rPr>
          <w:rFonts w:ascii="Times New Roman" w:hAnsi="Times New Roman" w:cs="Times New Roman"/>
          <w:sz w:val="24"/>
          <w:szCs w:val="24"/>
        </w:rPr>
      </w:pPr>
    </w:p>
    <w:p w14:paraId="68562FE2" w14:textId="1EBA62D1" w:rsidR="003111AF" w:rsidRPr="00F10029" w:rsidRDefault="003111AF" w:rsidP="004F3E26">
      <w:pPr>
        <w:pStyle w:val="ListParagraph"/>
        <w:numPr>
          <w:ilvl w:val="0"/>
          <w:numId w:val="63"/>
        </w:numPr>
        <w:spacing w:after="0" w:line="240" w:lineRule="auto"/>
        <w:ind w:left="567" w:hanging="567"/>
        <w:jc w:val="both"/>
        <w:rPr>
          <w:rFonts w:ascii="Times New Roman" w:hAnsi="Times New Roman" w:cs="Times New Roman"/>
          <w:sz w:val="24"/>
          <w:szCs w:val="24"/>
        </w:rPr>
      </w:pPr>
      <w:r w:rsidRPr="00F10029">
        <w:rPr>
          <w:rFonts w:ascii="Times New Roman" w:hAnsi="Times New Roman" w:cs="Times New Roman"/>
          <w:sz w:val="24"/>
          <w:szCs w:val="24"/>
        </w:rPr>
        <w:t>The expected return of shares using the mean-adjusted model approach</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52"/>
        <w:gridCol w:w="5885"/>
      </w:tblGrid>
      <w:tr w:rsidR="004F3E26" w:rsidRPr="00F10029" w14:paraId="2D5BFC7A" w14:textId="77777777" w:rsidTr="00963814">
        <w:tc>
          <w:tcPr>
            <w:tcW w:w="846" w:type="dxa"/>
          </w:tcPr>
          <w:p w14:paraId="6AFA32C9" w14:textId="4D140AE6" w:rsidR="004F3E26" w:rsidRPr="00F10029" w:rsidRDefault="004F3E26" w:rsidP="00963814">
            <w:pPr>
              <w:jc w:val="both"/>
              <w:rPr>
                <w:rFonts w:cs="Times New Roman"/>
                <w:szCs w:val="24"/>
              </w:rPr>
            </w:pPr>
            <w:r w:rsidRPr="00F10029">
              <w:rPr>
                <w:rFonts w:cs="Times New Roman"/>
                <w:bCs/>
                <w:szCs w:val="24"/>
              </w:rPr>
              <w:t>ERit</w:t>
            </w:r>
          </w:p>
        </w:tc>
        <w:tc>
          <w:tcPr>
            <w:tcW w:w="352" w:type="dxa"/>
          </w:tcPr>
          <w:p w14:paraId="1B7B445B" w14:textId="77777777" w:rsidR="004F3E26" w:rsidRPr="00F10029" w:rsidRDefault="004F3E26" w:rsidP="00963814">
            <w:pPr>
              <w:jc w:val="both"/>
              <w:rPr>
                <w:rFonts w:cs="Times New Roman"/>
                <w:szCs w:val="24"/>
              </w:rPr>
            </w:pPr>
            <w:r w:rsidRPr="00F10029">
              <w:rPr>
                <w:rFonts w:cs="Times New Roman"/>
                <w:szCs w:val="24"/>
              </w:rPr>
              <w:t>=</w:t>
            </w:r>
          </w:p>
        </w:tc>
        <w:tc>
          <w:tcPr>
            <w:tcW w:w="5885" w:type="dxa"/>
          </w:tcPr>
          <w:p w14:paraId="62FA09EF" w14:textId="44F288B3" w:rsidR="004F3E26" w:rsidRPr="00F10029" w:rsidRDefault="004F3E26" w:rsidP="00963814">
            <w:pPr>
              <w:jc w:val="both"/>
              <w:rPr>
                <w:rFonts w:cs="Times New Roman"/>
                <w:szCs w:val="24"/>
              </w:rPr>
            </w:pPr>
            <w:r w:rsidRPr="00F10029">
              <w:rPr>
                <w:rFonts w:cs="Times New Roman"/>
                <w:bCs/>
                <w:szCs w:val="24"/>
              </w:rPr>
              <w:t>A</w:t>
            </w:r>
            <w:r w:rsidRPr="00F10029">
              <w:rPr>
                <w:rFonts w:cs="Times New Roman"/>
                <w:bCs/>
                <w:szCs w:val="24"/>
              </w:rPr>
              <w:t>verage return in 80 days before the announcement</w:t>
            </w:r>
          </w:p>
        </w:tc>
      </w:tr>
    </w:tbl>
    <w:p w14:paraId="38CDAE9E" w14:textId="77777777" w:rsidR="004F3E26" w:rsidRPr="00F10029" w:rsidRDefault="004F3E26" w:rsidP="004F3E26">
      <w:pPr>
        <w:pStyle w:val="ListParagraph"/>
        <w:spacing w:after="0" w:line="240" w:lineRule="auto"/>
        <w:ind w:left="567"/>
        <w:jc w:val="both"/>
        <w:rPr>
          <w:rFonts w:ascii="Times New Roman" w:hAnsi="Times New Roman" w:cs="Times New Roman"/>
          <w:sz w:val="24"/>
          <w:szCs w:val="24"/>
        </w:rPr>
      </w:pPr>
    </w:p>
    <w:p w14:paraId="0BD041C3" w14:textId="74D4A963" w:rsidR="003111AF" w:rsidRPr="00F10029" w:rsidRDefault="003111AF" w:rsidP="004F3E26">
      <w:pPr>
        <w:pStyle w:val="ListParagraph"/>
        <w:numPr>
          <w:ilvl w:val="0"/>
          <w:numId w:val="63"/>
        </w:numPr>
        <w:spacing w:after="0" w:line="240" w:lineRule="auto"/>
        <w:ind w:left="567" w:hanging="567"/>
        <w:jc w:val="both"/>
        <w:rPr>
          <w:rFonts w:ascii="Times New Roman" w:hAnsi="Times New Roman" w:cs="Times New Roman"/>
          <w:sz w:val="24"/>
          <w:szCs w:val="24"/>
        </w:rPr>
      </w:pPr>
      <w:r w:rsidRPr="00F10029">
        <w:rPr>
          <w:rFonts w:ascii="Times New Roman" w:hAnsi="Times New Roman" w:cs="Times New Roman"/>
          <w:sz w:val="24"/>
          <w:szCs w:val="24"/>
        </w:rPr>
        <w:t>Calculating abnormal returns with equation</w:t>
      </w:r>
    </w:p>
    <w:p w14:paraId="398B3C52" w14:textId="77777777" w:rsidR="004F3E26" w:rsidRPr="00F10029" w:rsidRDefault="004F3E26" w:rsidP="004F3E26">
      <w:pPr>
        <w:spacing w:after="0" w:line="240" w:lineRule="auto"/>
        <w:ind w:left="567" w:hanging="567"/>
        <w:jc w:val="both"/>
        <w:rPr>
          <w:rFonts w:ascii="Times New Roman" w:hAnsi="Times New Roman" w:cs="Times New Roman"/>
          <w:sz w:val="24"/>
          <w:szCs w:val="24"/>
          <w:lang w:val="id-ID"/>
        </w:rPr>
      </w:pPr>
      <w:r w:rsidRPr="00F10029">
        <w:rPr>
          <w:rFonts w:ascii="Times New Roman" w:hAnsi="Times New Roman" w:cs="Times New Roman"/>
          <w:bCs/>
          <w:sz w:val="24"/>
          <w:szCs w:val="24"/>
        </w:rPr>
        <w:t xml:space="preserve">         </w:t>
      </w:r>
      <w:r w:rsidR="003111AF" w:rsidRPr="00F10029">
        <w:rPr>
          <w:rFonts w:ascii="Times New Roman" w:hAnsi="Times New Roman" w:cs="Times New Roman"/>
          <w:bCs/>
          <w:sz w:val="24"/>
          <w:szCs w:val="24"/>
        </w:rPr>
        <w:t xml:space="preserve">ARit = </w:t>
      </w:r>
      <w:r w:rsidRPr="00F10029">
        <w:rPr>
          <w:rFonts w:ascii="Times New Roman" w:hAnsi="Times New Roman" w:cs="Times New Roman"/>
          <w:sz w:val="24"/>
          <w:szCs w:val="24"/>
        </w:rPr>
        <w:t>Abnormal Return of the security</w:t>
      </w:r>
      <w:r w:rsidRPr="00F10029">
        <w:rPr>
          <w:rFonts w:ascii="Times New Roman" w:hAnsi="Times New Roman" w:cs="Times New Roman"/>
          <w:sz w:val="24"/>
          <w:szCs w:val="24"/>
          <w:lang w:val="id-ID"/>
        </w:rPr>
        <w:t xml:space="preserve"> i</w:t>
      </w:r>
      <w:r w:rsidRPr="00F10029">
        <w:rPr>
          <w:rFonts w:ascii="Times New Roman" w:hAnsi="Times New Roman" w:cs="Times New Roman"/>
          <w:sz w:val="24"/>
          <w:szCs w:val="24"/>
        </w:rPr>
        <w:t xml:space="preserve"> in the event period</w:t>
      </w:r>
      <w:r w:rsidRPr="00F10029">
        <w:rPr>
          <w:rFonts w:ascii="Times New Roman" w:hAnsi="Times New Roman" w:cs="Times New Roman"/>
          <w:sz w:val="24"/>
          <w:szCs w:val="24"/>
          <w:lang w:val="id-ID"/>
        </w:rPr>
        <w:t xml:space="preserve"> t</w:t>
      </w:r>
    </w:p>
    <w:p w14:paraId="7443E017" w14:textId="2D95ECEF" w:rsidR="004F3E26" w:rsidRPr="00F10029" w:rsidRDefault="004F3E26" w:rsidP="004F3E26">
      <w:pPr>
        <w:spacing w:after="0" w:line="240" w:lineRule="auto"/>
        <w:jc w:val="both"/>
        <w:rPr>
          <w:rFonts w:ascii="Times New Roman" w:hAnsi="Times New Roman" w:cs="Times New Roman"/>
          <w:sz w:val="24"/>
          <w:szCs w:val="24"/>
        </w:rPr>
      </w:pPr>
    </w:p>
    <w:p w14:paraId="3B1A74B9" w14:textId="00D7DCF2" w:rsidR="003111AF" w:rsidRPr="00F10029" w:rsidRDefault="003111AF" w:rsidP="004F3E26">
      <w:pPr>
        <w:spacing w:after="0" w:line="240" w:lineRule="auto"/>
        <w:ind w:left="567"/>
        <w:jc w:val="both"/>
        <w:rPr>
          <w:rFonts w:ascii="Times New Roman" w:hAnsi="Times New Roman" w:cs="Times New Roman"/>
          <w:sz w:val="24"/>
          <w:szCs w:val="24"/>
        </w:rPr>
      </w:pPr>
      <w:r w:rsidRPr="00F10029">
        <w:rPr>
          <w:rFonts w:ascii="Times New Roman" w:hAnsi="Times New Roman" w:cs="Times New Roman"/>
          <w:sz w:val="24"/>
          <w:szCs w:val="24"/>
        </w:rPr>
        <w:t>Notes: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52"/>
        <w:gridCol w:w="5885"/>
      </w:tblGrid>
      <w:tr w:rsidR="004F3E26" w:rsidRPr="00F10029" w14:paraId="00C35968" w14:textId="77777777" w:rsidTr="00963814">
        <w:tc>
          <w:tcPr>
            <w:tcW w:w="846" w:type="dxa"/>
          </w:tcPr>
          <w:p w14:paraId="281D8209" w14:textId="5303C057" w:rsidR="004F3E26" w:rsidRPr="00F10029" w:rsidRDefault="004F3E26" w:rsidP="00963814">
            <w:pPr>
              <w:jc w:val="both"/>
              <w:rPr>
                <w:rFonts w:cs="Times New Roman"/>
                <w:szCs w:val="24"/>
              </w:rPr>
            </w:pPr>
            <w:r w:rsidRPr="00F10029">
              <w:rPr>
                <w:rFonts w:cs="Times New Roman"/>
                <w:szCs w:val="24"/>
              </w:rPr>
              <w:t>ARit</w:t>
            </w:r>
          </w:p>
        </w:tc>
        <w:tc>
          <w:tcPr>
            <w:tcW w:w="352" w:type="dxa"/>
          </w:tcPr>
          <w:p w14:paraId="0F1267F1" w14:textId="77777777" w:rsidR="004F3E26" w:rsidRPr="00F10029" w:rsidRDefault="004F3E26" w:rsidP="00963814">
            <w:pPr>
              <w:jc w:val="both"/>
              <w:rPr>
                <w:rFonts w:cs="Times New Roman"/>
                <w:szCs w:val="24"/>
              </w:rPr>
            </w:pPr>
            <w:r w:rsidRPr="00F10029">
              <w:rPr>
                <w:rFonts w:cs="Times New Roman"/>
                <w:szCs w:val="24"/>
              </w:rPr>
              <w:t>=</w:t>
            </w:r>
          </w:p>
        </w:tc>
        <w:tc>
          <w:tcPr>
            <w:tcW w:w="5885" w:type="dxa"/>
          </w:tcPr>
          <w:p w14:paraId="502A45C4" w14:textId="77777777" w:rsidR="004F3E26" w:rsidRPr="00F10029" w:rsidRDefault="004F3E26" w:rsidP="00963814">
            <w:pPr>
              <w:jc w:val="both"/>
              <w:rPr>
                <w:rFonts w:cs="Times New Roman"/>
                <w:szCs w:val="24"/>
              </w:rPr>
            </w:pPr>
            <w:r w:rsidRPr="00F10029">
              <w:rPr>
                <w:rFonts w:cs="Times New Roman"/>
                <w:szCs w:val="24"/>
              </w:rPr>
              <w:t xml:space="preserve">Daily return of i shares in t period </w:t>
            </w:r>
          </w:p>
        </w:tc>
      </w:tr>
      <w:tr w:rsidR="004F3E26" w:rsidRPr="00F10029" w14:paraId="71F27188" w14:textId="77777777" w:rsidTr="00963814">
        <w:tc>
          <w:tcPr>
            <w:tcW w:w="846" w:type="dxa"/>
          </w:tcPr>
          <w:p w14:paraId="61499F28" w14:textId="192B4EBB" w:rsidR="004F3E26" w:rsidRPr="00F10029" w:rsidRDefault="004F3E26" w:rsidP="00963814">
            <w:pPr>
              <w:jc w:val="both"/>
              <w:rPr>
                <w:rFonts w:cs="Times New Roman"/>
                <w:szCs w:val="24"/>
              </w:rPr>
            </w:pPr>
            <w:r w:rsidRPr="00F10029">
              <w:rPr>
                <w:rFonts w:cs="Times New Roman"/>
                <w:szCs w:val="24"/>
              </w:rPr>
              <w:t>Rit</w:t>
            </w:r>
          </w:p>
        </w:tc>
        <w:tc>
          <w:tcPr>
            <w:tcW w:w="352" w:type="dxa"/>
          </w:tcPr>
          <w:p w14:paraId="606B9A19" w14:textId="77777777" w:rsidR="004F3E26" w:rsidRPr="00F10029" w:rsidRDefault="004F3E26" w:rsidP="00963814">
            <w:pPr>
              <w:jc w:val="both"/>
              <w:rPr>
                <w:rFonts w:cs="Times New Roman"/>
                <w:szCs w:val="24"/>
              </w:rPr>
            </w:pPr>
            <w:r w:rsidRPr="00F10029">
              <w:rPr>
                <w:rFonts w:cs="Times New Roman"/>
                <w:szCs w:val="24"/>
              </w:rPr>
              <w:t>=</w:t>
            </w:r>
          </w:p>
        </w:tc>
        <w:tc>
          <w:tcPr>
            <w:tcW w:w="5885" w:type="dxa"/>
          </w:tcPr>
          <w:p w14:paraId="1B038AD9" w14:textId="7650D955" w:rsidR="004F3E26" w:rsidRPr="00F10029" w:rsidRDefault="004F3E26" w:rsidP="004F3E26">
            <w:pPr>
              <w:ind w:left="567" w:hanging="567"/>
              <w:jc w:val="both"/>
              <w:rPr>
                <w:rFonts w:cs="Times New Roman"/>
                <w:szCs w:val="24"/>
              </w:rPr>
            </w:pPr>
            <w:r w:rsidRPr="00F10029">
              <w:rPr>
                <w:rFonts w:cs="Times New Roman"/>
                <w:szCs w:val="24"/>
              </w:rPr>
              <w:t>Actual Return of the security i in the event period t</w:t>
            </w:r>
          </w:p>
        </w:tc>
      </w:tr>
      <w:tr w:rsidR="004F3E26" w:rsidRPr="00F10029" w14:paraId="09AD7E75" w14:textId="77777777" w:rsidTr="00963814">
        <w:tc>
          <w:tcPr>
            <w:tcW w:w="846" w:type="dxa"/>
          </w:tcPr>
          <w:p w14:paraId="7CFA7247" w14:textId="6F864F91" w:rsidR="004F3E26" w:rsidRPr="00F10029" w:rsidRDefault="004F3E26" w:rsidP="00963814">
            <w:pPr>
              <w:jc w:val="both"/>
              <w:rPr>
                <w:rFonts w:cs="Times New Roman"/>
                <w:szCs w:val="24"/>
              </w:rPr>
            </w:pPr>
            <w:r w:rsidRPr="00F10029">
              <w:rPr>
                <w:rFonts w:cs="Times New Roman"/>
                <w:szCs w:val="24"/>
              </w:rPr>
              <w:t>ERit</w:t>
            </w:r>
          </w:p>
        </w:tc>
        <w:tc>
          <w:tcPr>
            <w:tcW w:w="352" w:type="dxa"/>
          </w:tcPr>
          <w:p w14:paraId="2EFF0202" w14:textId="77777777" w:rsidR="004F3E26" w:rsidRPr="00F10029" w:rsidRDefault="004F3E26" w:rsidP="00963814">
            <w:pPr>
              <w:jc w:val="both"/>
              <w:rPr>
                <w:rFonts w:cs="Times New Roman"/>
                <w:szCs w:val="24"/>
              </w:rPr>
            </w:pPr>
            <w:r w:rsidRPr="00F10029">
              <w:rPr>
                <w:rFonts w:cs="Times New Roman"/>
                <w:szCs w:val="24"/>
              </w:rPr>
              <w:t>=</w:t>
            </w:r>
          </w:p>
        </w:tc>
        <w:tc>
          <w:tcPr>
            <w:tcW w:w="5885" w:type="dxa"/>
          </w:tcPr>
          <w:p w14:paraId="07FCD614" w14:textId="35170D8D" w:rsidR="004F3E26" w:rsidRPr="00F10029" w:rsidRDefault="004F3E26" w:rsidP="004F3E26">
            <w:pPr>
              <w:ind w:left="567" w:hanging="567"/>
              <w:jc w:val="both"/>
              <w:rPr>
                <w:rFonts w:cs="Times New Roman"/>
                <w:szCs w:val="24"/>
              </w:rPr>
            </w:pPr>
            <w:r w:rsidRPr="00F10029">
              <w:rPr>
                <w:rFonts w:cs="Times New Roman"/>
                <w:szCs w:val="24"/>
              </w:rPr>
              <w:t>Expected return of the security i for the event period t</w:t>
            </w:r>
          </w:p>
        </w:tc>
      </w:tr>
    </w:tbl>
    <w:p w14:paraId="6584C2BD" w14:textId="77777777" w:rsidR="004F3E26" w:rsidRPr="00F10029" w:rsidRDefault="004F3E26" w:rsidP="004F3E26">
      <w:pPr>
        <w:spacing w:after="0" w:line="240" w:lineRule="auto"/>
        <w:ind w:left="567" w:hanging="567"/>
        <w:jc w:val="both"/>
        <w:rPr>
          <w:rFonts w:ascii="Times New Roman" w:hAnsi="Times New Roman" w:cs="Times New Roman"/>
          <w:sz w:val="24"/>
          <w:szCs w:val="24"/>
        </w:rPr>
      </w:pPr>
    </w:p>
    <w:p w14:paraId="595D247E" w14:textId="7002AE45" w:rsidR="003111AF" w:rsidRPr="00F10029" w:rsidRDefault="003111AF" w:rsidP="004F3E26">
      <w:pPr>
        <w:pStyle w:val="ListParagraph"/>
        <w:numPr>
          <w:ilvl w:val="0"/>
          <w:numId w:val="63"/>
        </w:numPr>
        <w:spacing w:after="0" w:line="240" w:lineRule="auto"/>
        <w:ind w:left="567" w:hanging="567"/>
        <w:jc w:val="both"/>
        <w:rPr>
          <w:rFonts w:ascii="Times New Roman" w:hAnsi="Times New Roman" w:cs="Times New Roman"/>
          <w:sz w:val="24"/>
          <w:szCs w:val="24"/>
        </w:rPr>
      </w:pPr>
      <w:r w:rsidRPr="00F10029">
        <w:rPr>
          <w:rFonts w:ascii="Times New Roman" w:hAnsi="Times New Roman" w:cs="Times New Roman"/>
          <w:sz w:val="24"/>
          <w:szCs w:val="24"/>
        </w:rPr>
        <w:t>Calculating the Average Abnormal Return (AAR) for the period before and after the announcement date of the first COVID-19 case in Indonesia with the equation</w:t>
      </w:r>
    </w:p>
    <w:p w14:paraId="654DD9F3" w14:textId="77001179" w:rsidR="003111AF" w:rsidRPr="00F10029" w:rsidRDefault="004F3E26" w:rsidP="004F3E26">
      <w:pPr>
        <w:pStyle w:val="ListParagraph"/>
        <w:spacing w:after="0" w:line="240" w:lineRule="auto"/>
        <w:ind w:left="567" w:right="354" w:hanging="567"/>
        <w:jc w:val="both"/>
        <w:rPr>
          <w:rFonts w:ascii="Times New Roman" w:hAnsi="Times New Roman" w:cs="Times New Roman"/>
          <w:sz w:val="24"/>
          <w:szCs w:val="24"/>
          <w:lang w:val="id-ID"/>
        </w:rPr>
      </w:pPr>
      <w:r w:rsidRPr="00F10029">
        <w:rPr>
          <w:rFonts w:ascii="Times New Roman" w:hAnsi="Times New Roman" w:cs="Times New Roman"/>
          <w:sz w:val="24"/>
          <w:szCs w:val="24"/>
        </w:rPr>
        <w:t xml:space="preserve">         </w:t>
      </w:r>
      <w:r w:rsidR="003111AF" w:rsidRPr="00F10029">
        <w:rPr>
          <w:rFonts w:ascii="Times New Roman" w:hAnsi="Times New Roman" w:cs="Times New Roman"/>
          <w:sz w:val="24"/>
          <w:szCs w:val="24"/>
        </w:rPr>
        <w:t xml:space="preserve">AARt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rPr>
              <m:t>ARit</m:t>
            </m:r>
          </m:e>
        </m:nary>
      </m:oMath>
      <w:r w:rsidR="003111AF" w:rsidRPr="00F10029">
        <w:rPr>
          <w:rFonts w:ascii="Times New Roman" w:hAnsi="Times New Roman" w:cs="Times New Roman"/>
          <w:sz w:val="24"/>
          <w:szCs w:val="24"/>
          <w:lang w:val="id-ID"/>
        </w:rPr>
        <w:t xml:space="preserve"> (6)</w:t>
      </w:r>
    </w:p>
    <w:p w14:paraId="76AF39DB" w14:textId="47877AEB" w:rsidR="003111AF" w:rsidRPr="00F10029" w:rsidRDefault="003111AF" w:rsidP="004F3E26">
      <w:pPr>
        <w:spacing w:after="0" w:line="240" w:lineRule="auto"/>
        <w:ind w:left="567" w:firstLine="153"/>
        <w:jc w:val="both"/>
        <w:rPr>
          <w:rFonts w:ascii="Times New Roman" w:hAnsi="Times New Roman" w:cs="Times New Roman"/>
          <w:sz w:val="24"/>
          <w:szCs w:val="24"/>
        </w:rPr>
      </w:pPr>
      <w:r w:rsidRPr="00F10029">
        <w:rPr>
          <w:rFonts w:ascii="Times New Roman" w:hAnsi="Times New Roman" w:cs="Times New Roman"/>
          <w:sz w:val="24"/>
          <w:szCs w:val="24"/>
        </w:rPr>
        <w:lastRenderedPageBreak/>
        <w:t>Notes: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52"/>
        <w:gridCol w:w="5885"/>
      </w:tblGrid>
      <w:tr w:rsidR="004F3E26" w:rsidRPr="00F10029" w14:paraId="667BE69F" w14:textId="77777777" w:rsidTr="00963814">
        <w:tc>
          <w:tcPr>
            <w:tcW w:w="846" w:type="dxa"/>
          </w:tcPr>
          <w:p w14:paraId="197FB6A7" w14:textId="718AAD84" w:rsidR="004F3E26" w:rsidRPr="00F10029" w:rsidRDefault="004F3E26" w:rsidP="00963814">
            <w:pPr>
              <w:jc w:val="both"/>
              <w:rPr>
                <w:rFonts w:cs="Times New Roman"/>
                <w:szCs w:val="24"/>
              </w:rPr>
            </w:pPr>
            <w:r w:rsidRPr="00F10029">
              <w:rPr>
                <w:rFonts w:cs="Times New Roman"/>
                <w:szCs w:val="24"/>
              </w:rPr>
              <w:t>AARt</w:t>
            </w:r>
          </w:p>
        </w:tc>
        <w:tc>
          <w:tcPr>
            <w:tcW w:w="352" w:type="dxa"/>
          </w:tcPr>
          <w:p w14:paraId="538EF105" w14:textId="77777777" w:rsidR="004F3E26" w:rsidRPr="00F10029" w:rsidRDefault="004F3E26" w:rsidP="00963814">
            <w:pPr>
              <w:jc w:val="both"/>
              <w:rPr>
                <w:rFonts w:cs="Times New Roman"/>
                <w:szCs w:val="24"/>
              </w:rPr>
            </w:pPr>
            <w:r w:rsidRPr="00F10029">
              <w:rPr>
                <w:rFonts w:cs="Times New Roman"/>
                <w:szCs w:val="24"/>
              </w:rPr>
              <w:t>=</w:t>
            </w:r>
          </w:p>
        </w:tc>
        <w:tc>
          <w:tcPr>
            <w:tcW w:w="5885" w:type="dxa"/>
          </w:tcPr>
          <w:p w14:paraId="2DC12A2E" w14:textId="7EF03860" w:rsidR="004F3E26" w:rsidRPr="00F10029" w:rsidRDefault="004F3E26" w:rsidP="004F3E26">
            <w:pPr>
              <w:ind w:left="567" w:hanging="567"/>
              <w:jc w:val="both"/>
              <w:rPr>
                <w:rFonts w:cs="Times New Roman"/>
                <w:szCs w:val="24"/>
              </w:rPr>
            </w:pPr>
            <w:r w:rsidRPr="00F10029">
              <w:rPr>
                <w:rFonts w:cs="Times New Roman"/>
                <w:szCs w:val="24"/>
              </w:rPr>
              <w:t>Average of abnormal income in the t period</w:t>
            </w:r>
          </w:p>
        </w:tc>
      </w:tr>
      <w:tr w:rsidR="004F3E26" w:rsidRPr="00F10029" w14:paraId="4A86674A" w14:textId="77777777" w:rsidTr="00963814">
        <w:tc>
          <w:tcPr>
            <w:tcW w:w="846" w:type="dxa"/>
          </w:tcPr>
          <w:p w14:paraId="3A4B5FA4" w14:textId="585381E5" w:rsidR="004F3E26" w:rsidRPr="00F10029" w:rsidRDefault="004F3E26" w:rsidP="00963814">
            <w:pPr>
              <w:jc w:val="both"/>
              <w:rPr>
                <w:rFonts w:cs="Times New Roman"/>
                <w:szCs w:val="24"/>
              </w:rPr>
            </w:pPr>
            <w:r w:rsidRPr="00F10029">
              <w:rPr>
                <w:rFonts w:cs="Times New Roman"/>
                <w:szCs w:val="24"/>
              </w:rPr>
              <w:t>n</w:t>
            </w:r>
          </w:p>
        </w:tc>
        <w:tc>
          <w:tcPr>
            <w:tcW w:w="352" w:type="dxa"/>
          </w:tcPr>
          <w:p w14:paraId="78A0F669" w14:textId="77777777" w:rsidR="004F3E26" w:rsidRPr="00F10029" w:rsidRDefault="004F3E26" w:rsidP="00963814">
            <w:pPr>
              <w:jc w:val="both"/>
              <w:rPr>
                <w:rFonts w:cs="Times New Roman"/>
                <w:szCs w:val="24"/>
              </w:rPr>
            </w:pPr>
            <w:r w:rsidRPr="00F10029">
              <w:rPr>
                <w:rFonts w:cs="Times New Roman"/>
                <w:szCs w:val="24"/>
              </w:rPr>
              <w:t>=</w:t>
            </w:r>
          </w:p>
        </w:tc>
        <w:tc>
          <w:tcPr>
            <w:tcW w:w="5885" w:type="dxa"/>
          </w:tcPr>
          <w:p w14:paraId="521A0032" w14:textId="6E341E73" w:rsidR="004F3E26" w:rsidRPr="00F10029" w:rsidRDefault="004F3E26" w:rsidP="004F3E26">
            <w:pPr>
              <w:ind w:left="567" w:hanging="567"/>
              <w:jc w:val="both"/>
              <w:rPr>
                <w:rFonts w:cs="Times New Roman"/>
                <w:szCs w:val="24"/>
              </w:rPr>
            </w:pPr>
            <w:r w:rsidRPr="00F10029">
              <w:rPr>
                <w:rFonts w:cs="Times New Roman"/>
                <w:szCs w:val="24"/>
              </w:rPr>
              <w:t>Number of shares</w:t>
            </w:r>
          </w:p>
        </w:tc>
      </w:tr>
      <w:tr w:rsidR="004F3E26" w:rsidRPr="00F10029" w14:paraId="66362DCA" w14:textId="77777777" w:rsidTr="00963814">
        <w:tc>
          <w:tcPr>
            <w:tcW w:w="846" w:type="dxa"/>
          </w:tcPr>
          <w:p w14:paraId="213555A8" w14:textId="3BCC2990" w:rsidR="004F3E26" w:rsidRPr="00F10029" w:rsidRDefault="004F3E26" w:rsidP="00963814">
            <w:pPr>
              <w:jc w:val="both"/>
              <w:rPr>
                <w:rFonts w:cs="Times New Roman"/>
                <w:szCs w:val="24"/>
              </w:rPr>
            </w:pPr>
            <w:r w:rsidRPr="00F10029">
              <w:rPr>
                <w:rFonts w:cs="Times New Roman"/>
                <w:szCs w:val="24"/>
              </w:rPr>
              <w:t>ARit</w:t>
            </w:r>
          </w:p>
        </w:tc>
        <w:tc>
          <w:tcPr>
            <w:tcW w:w="352" w:type="dxa"/>
          </w:tcPr>
          <w:p w14:paraId="1623C45B" w14:textId="77777777" w:rsidR="004F3E26" w:rsidRPr="00F10029" w:rsidRDefault="004F3E26" w:rsidP="00963814">
            <w:pPr>
              <w:jc w:val="both"/>
              <w:rPr>
                <w:rFonts w:cs="Times New Roman"/>
                <w:szCs w:val="24"/>
              </w:rPr>
            </w:pPr>
            <w:r w:rsidRPr="00F10029">
              <w:rPr>
                <w:rFonts w:cs="Times New Roman"/>
                <w:szCs w:val="24"/>
              </w:rPr>
              <w:t>=</w:t>
            </w:r>
          </w:p>
        </w:tc>
        <w:tc>
          <w:tcPr>
            <w:tcW w:w="5885" w:type="dxa"/>
          </w:tcPr>
          <w:p w14:paraId="7530A4FB" w14:textId="1BAA2C28" w:rsidR="004F3E26" w:rsidRPr="00F10029" w:rsidRDefault="004F3E26" w:rsidP="004F3E26">
            <w:pPr>
              <w:ind w:left="567" w:hanging="567"/>
              <w:jc w:val="both"/>
              <w:rPr>
                <w:rFonts w:cs="Times New Roman"/>
                <w:szCs w:val="24"/>
              </w:rPr>
            </w:pPr>
            <w:r w:rsidRPr="00F10029">
              <w:rPr>
                <w:rFonts w:cs="Times New Roman"/>
                <w:szCs w:val="24"/>
              </w:rPr>
              <w:t>Abnormal Return of I stock in t period</w:t>
            </w:r>
          </w:p>
        </w:tc>
      </w:tr>
    </w:tbl>
    <w:p w14:paraId="6EBB10C8" w14:textId="77777777" w:rsidR="004F3E26" w:rsidRPr="00F10029" w:rsidRDefault="004F3E26" w:rsidP="004F3E26">
      <w:pPr>
        <w:spacing w:after="0" w:line="240" w:lineRule="auto"/>
        <w:ind w:left="567" w:hanging="567"/>
        <w:jc w:val="both"/>
        <w:rPr>
          <w:rFonts w:ascii="Times New Roman" w:hAnsi="Times New Roman" w:cs="Times New Roman"/>
          <w:sz w:val="24"/>
          <w:szCs w:val="24"/>
        </w:rPr>
      </w:pPr>
    </w:p>
    <w:p w14:paraId="39F8F055" w14:textId="1753AED2" w:rsidR="003111AF" w:rsidRPr="00F10029" w:rsidRDefault="003111AF" w:rsidP="00CC72BF">
      <w:pPr>
        <w:pStyle w:val="ListParagraph"/>
        <w:numPr>
          <w:ilvl w:val="0"/>
          <w:numId w:val="63"/>
        </w:numPr>
        <w:spacing w:after="0" w:line="240" w:lineRule="auto"/>
        <w:ind w:left="567" w:hanging="567"/>
        <w:jc w:val="both"/>
        <w:rPr>
          <w:rFonts w:ascii="Times New Roman" w:hAnsi="Times New Roman" w:cs="Times New Roman"/>
          <w:sz w:val="24"/>
          <w:szCs w:val="24"/>
        </w:rPr>
      </w:pPr>
      <w:r w:rsidRPr="00F10029">
        <w:rPr>
          <w:rFonts w:ascii="Times New Roman" w:hAnsi="Times New Roman" w:cs="Times New Roman"/>
          <w:sz w:val="24"/>
          <w:szCs w:val="24"/>
        </w:rPr>
        <w:t xml:space="preserve">Trading Volume Activity (TVA) for the period before and after the date of the announcement. </w:t>
      </w:r>
    </w:p>
    <w:p w14:paraId="1E28C419" w14:textId="3F39F59D" w:rsidR="003111AF" w:rsidRPr="00F10029" w:rsidRDefault="00CC72BF" w:rsidP="004F3E26">
      <w:pPr>
        <w:spacing w:after="0" w:line="240" w:lineRule="auto"/>
        <w:ind w:left="567" w:right="355" w:hanging="567"/>
        <w:jc w:val="both"/>
        <w:rPr>
          <w:rFonts w:ascii="Times New Roman" w:eastAsiaTheme="minorEastAsia" w:hAnsi="Times New Roman" w:cs="Times New Roman"/>
          <w:sz w:val="24"/>
          <w:szCs w:val="24"/>
          <w:lang w:val="id-ID"/>
        </w:rPr>
      </w:pPr>
      <w:r w:rsidRPr="00F10029">
        <w:rPr>
          <w:rFonts w:ascii="Times New Roman" w:hAnsi="Times New Roman" w:cs="Times New Roman"/>
          <w:bCs/>
          <w:sz w:val="24"/>
          <w:szCs w:val="24"/>
        </w:rPr>
        <w:t xml:space="preserve">           </w:t>
      </w:r>
      <w:r w:rsidR="003111AF" w:rsidRPr="00F10029">
        <w:rPr>
          <w:rFonts w:ascii="Times New Roman" w:hAnsi="Times New Roman" w:cs="Times New Roman"/>
          <w:bCs/>
          <w:sz w:val="24"/>
          <w:szCs w:val="24"/>
        </w:rPr>
        <w:t>TVAit =</w:t>
      </w:r>
      <w:r w:rsidR="003111AF" w:rsidRPr="00F10029">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Σ </m:t>
            </m:r>
            <m:r>
              <m:rPr>
                <m:sty m:val="p"/>
              </m:rPr>
              <w:rPr>
                <w:rFonts w:ascii="Cambria Math" w:hAnsi="Cambria Math" w:cs="Times New Roman"/>
                <w:sz w:val="24"/>
                <w:szCs w:val="24"/>
              </w:rPr>
              <m:t>shares traded at t period</m:t>
            </m:r>
          </m:num>
          <m:den>
            <m:r>
              <w:rPr>
                <w:rFonts w:ascii="Cambria Math" w:hAnsi="Cambria Math" w:cs="Times New Roman"/>
                <w:sz w:val="24"/>
                <w:szCs w:val="24"/>
              </w:rPr>
              <m:t xml:space="preserve">Σ </m:t>
            </m:r>
            <m:r>
              <m:rPr>
                <m:sty m:val="p"/>
              </m:rPr>
              <w:rPr>
                <w:rFonts w:ascii="Cambria Math" w:hAnsi="Cambria Math" w:cs="Times New Roman"/>
                <w:sz w:val="24"/>
                <w:szCs w:val="24"/>
              </w:rPr>
              <m:t>shares issued on the IDX at t period</m:t>
            </m:r>
          </m:den>
        </m:f>
      </m:oMath>
      <w:r w:rsidR="003111AF" w:rsidRPr="00F10029">
        <w:rPr>
          <w:rFonts w:ascii="Times New Roman" w:hAnsi="Times New Roman" w:cs="Times New Roman"/>
          <w:sz w:val="24"/>
          <w:szCs w:val="24"/>
          <w:lang w:val="id-ID"/>
        </w:rPr>
        <w:t xml:space="preserve"> (7)</w:t>
      </w:r>
    </w:p>
    <w:p w14:paraId="1CF7B70B" w14:textId="77777777" w:rsidR="003111AF" w:rsidRPr="00F10029" w:rsidRDefault="003111AF" w:rsidP="004F3E26">
      <w:pPr>
        <w:spacing w:after="0" w:line="240" w:lineRule="auto"/>
        <w:ind w:left="567" w:right="355" w:hanging="567"/>
        <w:jc w:val="both"/>
        <w:rPr>
          <w:rFonts w:ascii="Times New Roman" w:eastAsiaTheme="minorEastAsia" w:hAnsi="Times New Roman" w:cs="Times New Roman"/>
          <w:sz w:val="24"/>
          <w:szCs w:val="24"/>
        </w:rPr>
      </w:pPr>
    </w:p>
    <w:p w14:paraId="6635F12B" w14:textId="77777777" w:rsidR="003111AF" w:rsidRPr="00F10029" w:rsidRDefault="003111AF" w:rsidP="004F3E26">
      <w:pPr>
        <w:pStyle w:val="ListParagraph"/>
        <w:numPr>
          <w:ilvl w:val="0"/>
          <w:numId w:val="63"/>
        </w:numPr>
        <w:spacing w:after="0" w:line="240" w:lineRule="auto"/>
        <w:ind w:left="567" w:hanging="567"/>
        <w:jc w:val="both"/>
        <w:rPr>
          <w:rFonts w:ascii="Times New Roman" w:hAnsi="Times New Roman" w:cs="Times New Roman"/>
          <w:sz w:val="24"/>
          <w:szCs w:val="24"/>
        </w:rPr>
      </w:pPr>
      <w:r w:rsidRPr="00F10029">
        <w:rPr>
          <w:rFonts w:ascii="Times New Roman" w:hAnsi="Times New Roman" w:cs="Times New Roman"/>
          <w:iCs/>
          <w:sz w:val="24"/>
          <w:szCs w:val="24"/>
        </w:rPr>
        <w:t>Paired sample t-test</w:t>
      </w:r>
      <w:r w:rsidRPr="00F10029">
        <w:rPr>
          <w:rFonts w:ascii="Times New Roman" w:hAnsi="Times New Roman" w:cs="Times New Roman"/>
          <w:sz w:val="24"/>
          <w:szCs w:val="24"/>
        </w:rPr>
        <w:t xml:space="preserve"> to see the differences before and after the event. The processed sample is the result of Average Abnormal Return (AAR) and Average Trading Volume Activity (TVA) before and after the announcement of the first COVID-19 case in Indonesia by determining the level of significance (LOS) of 5%.</w:t>
      </w:r>
    </w:p>
    <w:p w14:paraId="3E71E619" w14:textId="77777777" w:rsidR="003111AF" w:rsidRPr="00F10029" w:rsidRDefault="003111AF" w:rsidP="004F3E26">
      <w:pPr>
        <w:pStyle w:val="ListParagraph"/>
        <w:numPr>
          <w:ilvl w:val="0"/>
          <w:numId w:val="63"/>
        </w:numPr>
        <w:spacing w:after="0" w:line="240" w:lineRule="auto"/>
        <w:ind w:left="567" w:hanging="567"/>
        <w:jc w:val="both"/>
        <w:rPr>
          <w:rFonts w:ascii="Times New Roman" w:hAnsi="Times New Roman" w:cs="Times New Roman"/>
          <w:sz w:val="24"/>
          <w:szCs w:val="24"/>
        </w:rPr>
      </w:pPr>
      <w:r w:rsidRPr="00F10029">
        <w:rPr>
          <w:rFonts w:ascii="Times New Roman" w:hAnsi="Times New Roman" w:cs="Times New Roman"/>
          <w:sz w:val="24"/>
          <w:szCs w:val="24"/>
        </w:rPr>
        <w:t>The hypothesis was tested using the one-sample t-test to test the market reaction towards announcing the first COVID-19 case in Indonesia. The processed sample is the result of Average Abnormal Return (AAR) before and after the report of the first COVID-19 case in Indonesia by determining the significance level (LOS) of 5%.</w:t>
      </w:r>
      <w:bookmarkEnd w:id="3"/>
    </w:p>
    <w:p w14:paraId="0E0243E1" w14:textId="77777777" w:rsidR="004205D8" w:rsidRPr="00F10029" w:rsidRDefault="004205D8" w:rsidP="00ED3EEA">
      <w:pPr>
        <w:pStyle w:val="Heading1"/>
        <w:spacing w:before="0" w:line="240" w:lineRule="auto"/>
        <w:jc w:val="both"/>
        <w:rPr>
          <w:rFonts w:ascii="Times New Roman" w:hAnsi="Times New Roman"/>
          <w:color w:val="auto"/>
          <w:sz w:val="24"/>
          <w:szCs w:val="24"/>
        </w:rPr>
      </w:pPr>
    </w:p>
    <w:p w14:paraId="23FD9EEF" w14:textId="59CC4F12" w:rsidR="004262C5" w:rsidRPr="00F10029" w:rsidRDefault="004262C5" w:rsidP="00E93FB4">
      <w:pPr>
        <w:pStyle w:val="Heading1"/>
        <w:spacing w:before="0" w:line="240" w:lineRule="auto"/>
        <w:jc w:val="both"/>
        <w:rPr>
          <w:rFonts w:ascii="Times New Roman" w:hAnsi="Times New Roman"/>
          <w:color w:val="auto"/>
          <w:sz w:val="24"/>
          <w:szCs w:val="24"/>
        </w:rPr>
      </w:pPr>
      <w:r w:rsidRPr="00F10029">
        <w:rPr>
          <w:rFonts w:ascii="Times New Roman" w:hAnsi="Times New Roman"/>
          <w:color w:val="auto"/>
          <w:sz w:val="24"/>
          <w:szCs w:val="24"/>
        </w:rPr>
        <w:t>Result and Discussion</w:t>
      </w:r>
    </w:p>
    <w:p w14:paraId="210F863F" w14:textId="5DC64893" w:rsidR="00E93FB4" w:rsidRPr="00F10029" w:rsidRDefault="00E93FB4" w:rsidP="00E93FB4">
      <w:pPr>
        <w:spacing w:after="0" w:line="240" w:lineRule="auto"/>
        <w:rPr>
          <w:rFonts w:ascii="Times New Roman" w:hAnsi="Times New Roman" w:cs="Times New Roman"/>
          <w:bCs/>
          <w:i/>
          <w:iCs/>
          <w:color w:val="000000" w:themeColor="text1"/>
          <w:sz w:val="24"/>
          <w:szCs w:val="24"/>
          <w:lang w:val="id-ID"/>
        </w:rPr>
      </w:pPr>
      <w:r w:rsidRPr="00F10029">
        <w:rPr>
          <w:rFonts w:ascii="Times New Roman" w:hAnsi="Times New Roman" w:cs="Times New Roman"/>
          <w:bCs/>
          <w:i/>
          <w:iCs/>
          <w:color w:val="000000" w:themeColor="text1"/>
          <w:sz w:val="24"/>
          <w:szCs w:val="24"/>
        </w:rPr>
        <w:t xml:space="preserve">Investor </w:t>
      </w:r>
      <w:r w:rsidRPr="00F10029">
        <w:rPr>
          <w:rFonts w:ascii="Times New Roman" w:hAnsi="Times New Roman" w:cs="Times New Roman"/>
          <w:bCs/>
          <w:i/>
          <w:iCs/>
          <w:color w:val="000000" w:themeColor="text1"/>
          <w:sz w:val="24"/>
          <w:szCs w:val="24"/>
        </w:rPr>
        <w:t>b</w:t>
      </w:r>
      <w:r w:rsidRPr="00F10029">
        <w:rPr>
          <w:rFonts w:ascii="Times New Roman" w:hAnsi="Times New Roman" w:cs="Times New Roman"/>
          <w:bCs/>
          <w:i/>
          <w:iCs/>
          <w:color w:val="000000" w:themeColor="text1"/>
          <w:sz w:val="24"/>
          <w:szCs w:val="24"/>
        </w:rPr>
        <w:t>ehavior</w:t>
      </w:r>
    </w:p>
    <w:p w14:paraId="5AA53903" w14:textId="77777777" w:rsidR="00E93FB4" w:rsidRPr="00F10029" w:rsidRDefault="00E93FB4" w:rsidP="00E93FB4">
      <w:pPr>
        <w:spacing w:after="0" w:line="240" w:lineRule="auto"/>
        <w:jc w:val="both"/>
        <w:rPr>
          <w:rFonts w:ascii="Times New Roman" w:hAnsi="Times New Roman" w:cs="Times New Roman"/>
          <w:bCs/>
          <w:color w:val="000000" w:themeColor="text1"/>
          <w:sz w:val="24"/>
          <w:szCs w:val="24"/>
        </w:rPr>
      </w:pPr>
      <w:r w:rsidRPr="00F10029">
        <w:rPr>
          <w:rFonts w:ascii="Times New Roman" w:hAnsi="Times New Roman" w:cs="Times New Roman"/>
          <w:bCs/>
          <w:color w:val="000000" w:themeColor="text1"/>
          <w:sz w:val="24"/>
          <w:szCs w:val="24"/>
        </w:rPr>
        <w:t xml:space="preserve">Investor behavior in this study is reflected by changes in Average Trading Volume Activity (TVA) before and after the announcement. Trading volume can be considered a factor of investor behavior where the stock trading volume reflects bullish or bearish investors </w:t>
      </w:r>
      <w:r w:rsidRPr="00F10029">
        <w:rPr>
          <w:rFonts w:ascii="Times New Roman" w:hAnsi="Times New Roman" w:cs="Times New Roman"/>
          <w:bCs/>
          <w:color w:val="000000" w:themeColor="text1"/>
          <w:sz w:val="24"/>
          <w:szCs w:val="24"/>
        </w:rPr>
        <w:fldChar w:fldCharType="begin" w:fldLock="1"/>
      </w:r>
      <w:r w:rsidRPr="00F10029">
        <w:rPr>
          <w:rFonts w:ascii="Times New Roman" w:hAnsi="Times New Roman" w:cs="Times New Roman"/>
          <w:bCs/>
          <w:color w:val="000000" w:themeColor="text1"/>
          <w:sz w:val="24"/>
          <w:szCs w:val="24"/>
        </w:rPr>
        <w:instrText>ADDIN CSL_CITATION {"citationItems":[{"id":"ITEM-1","itemData":{"DOI":"10.1016/j.intfin.2020.101193","ISSN":"10424431","abstract":"Fundamental and behavioural factors are the two determinants of stock prices but are rarely investigated simultaneously. This paper examines the role of fundamental and behavioural factors in stock return volatility in the Association of Southeast Asian Nations-5 countries (ASEAN-5) for the period of January 1995 to December 2018 comprising three regimes (before Asian, between Asian and Global, and after Global financial crises). We find that fundamental factors play crucial roles in influencing stock market volatility in Malaysia, Thailand, and Singapore; whereas, behavioural factors affect stock market volatility more significantly than fundamental factors in Indonesia and the Philippines. We find distinctive differences across the three regimes supporting the above findings. Further our results suggest that ASEAN-5 has made encouraging progress of integration with Malaysia and Thailand being closer to Singapore in terms of economic development, corporate values, and political stability; however, Indonesia and the Philippines are much behind showing economic instability and their vulnerabilities are especially associated with the timing of the Asian and global financial crises. Our findings also suggest that monetary policies play a more important role than fiscal policies in the region and highlight a number of policy implications.","author":[{"dropping-particle":"","family":"Thampanya","given":"Natthinee","non-dropping-particle":"","parse-names":false,"suffix":""},{"dropping-particle":"","family":"Wu","given":"Junjie","non-dropping-particle":"","parse-names":false,"suffix":""},{"dropping-particle":"","family":"Nasir","given":"Muhammad Ali","non-dropping-particle":"","parse-names":false,"suffix":""},{"dropping-particle":"","family":"Liu","given":"Jia","non-dropping-particle":"","parse-names":false,"suffix":""}],"container-title":"Journal of International Financial Markets, Institutions and Money","id":"ITEM-1","issued":{"date-parts":[["2020"]]},"page":"101193","publisher":"Elsevier B.V.","title":"Fundamental and behavioural determinants of stock return volatility in ASEAN-5 countries","type":"article-journal","volume":"65"},"uris":["http://www.mendeley.com/documents/?uuid=53508fb2-970e-4306-b35a-2c35ced3fee1","http://www.mendeley.com/documents/?uuid=b9e9a0a3-5e32-4667-8d5f-00754b4dd0f9"]}],"mendeley":{"formattedCitation":"(Thampanya et al., 2020)","plainTextFormattedCitation":"(Thampanya et al., 2020)","previouslyFormattedCitation":"(Thampanya et al., 2020)"},"properties":{"noteIndex":0},"schema":"https://github.com/citation-style-language/schema/raw/master/csl-citation.json"}</w:instrText>
      </w:r>
      <w:r w:rsidRPr="00F10029">
        <w:rPr>
          <w:rFonts w:ascii="Times New Roman" w:hAnsi="Times New Roman" w:cs="Times New Roman"/>
          <w:bCs/>
          <w:color w:val="000000" w:themeColor="text1"/>
          <w:sz w:val="24"/>
          <w:szCs w:val="24"/>
        </w:rPr>
        <w:fldChar w:fldCharType="separate"/>
      </w:r>
      <w:r w:rsidRPr="00F10029">
        <w:rPr>
          <w:rFonts w:ascii="Times New Roman" w:hAnsi="Times New Roman" w:cs="Times New Roman"/>
          <w:bCs/>
          <w:noProof/>
          <w:color w:val="000000" w:themeColor="text1"/>
          <w:sz w:val="24"/>
          <w:szCs w:val="24"/>
        </w:rPr>
        <w:t>(</w:t>
      </w:r>
      <w:hyperlink w:anchor="Thampanya2020" w:history="1">
        <w:r w:rsidRPr="00F10029">
          <w:rPr>
            <w:rStyle w:val="Hyperlink"/>
            <w:rFonts w:ascii="Times New Roman" w:hAnsi="Times New Roman" w:cs="Times New Roman"/>
            <w:bCs/>
            <w:noProof/>
            <w:sz w:val="24"/>
            <w:szCs w:val="24"/>
            <w:u w:val="none"/>
          </w:rPr>
          <w:t>Thampanya et al., 2020</w:t>
        </w:r>
      </w:hyperlink>
      <w:r w:rsidRPr="00F10029">
        <w:rPr>
          <w:rFonts w:ascii="Times New Roman" w:hAnsi="Times New Roman" w:cs="Times New Roman"/>
          <w:bCs/>
          <w:noProof/>
          <w:color w:val="000000" w:themeColor="text1"/>
          <w:sz w:val="24"/>
          <w:szCs w:val="24"/>
        </w:rPr>
        <w:t>)</w:t>
      </w:r>
      <w:r w:rsidRPr="00F10029">
        <w:rPr>
          <w:rFonts w:ascii="Times New Roman" w:hAnsi="Times New Roman" w:cs="Times New Roman"/>
          <w:bCs/>
          <w:color w:val="000000" w:themeColor="text1"/>
          <w:sz w:val="24"/>
          <w:szCs w:val="24"/>
        </w:rPr>
        <w:fldChar w:fldCharType="end"/>
      </w:r>
      <w:r w:rsidRPr="00F10029">
        <w:rPr>
          <w:rFonts w:ascii="Times New Roman" w:hAnsi="Times New Roman" w:cs="Times New Roman"/>
          <w:bCs/>
          <w:color w:val="000000" w:themeColor="text1"/>
          <w:sz w:val="24"/>
          <w:szCs w:val="24"/>
        </w:rPr>
        <w:t xml:space="preserve">. TVA also helps in explaining the return indirectly </w:t>
      </w:r>
      <w:r w:rsidRPr="00F10029">
        <w:rPr>
          <w:rFonts w:ascii="Times New Roman" w:hAnsi="Times New Roman" w:cs="Times New Roman"/>
          <w:bCs/>
          <w:color w:val="000000" w:themeColor="text1"/>
          <w:sz w:val="24"/>
          <w:szCs w:val="24"/>
        </w:rPr>
        <w:fldChar w:fldCharType="begin" w:fldLock="1"/>
      </w:r>
      <w:r w:rsidRPr="00F10029">
        <w:rPr>
          <w:rFonts w:ascii="Times New Roman" w:hAnsi="Times New Roman" w:cs="Times New Roman"/>
          <w:bCs/>
          <w:color w:val="000000" w:themeColor="text1"/>
          <w:sz w:val="24"/>
          <w:szCs w:val="24"/>
        </w:rPr>
        <w:instrText>ADDIN CSL_CITATION {"citationItems":[{"id":"ITEM-1","itemData":{"DOI":"10.1108/IJMF-10-2013-0103","ISSN":"17439132","abstract":"Purpose: The real estate markets in Asia have attracted significant investor attention as they have grown rapidly in recent years. Both local and foreign investors continue to display a strong appetite for Asian real estate investment projects. Given the different characteristics of listed real estate stocks, the purpose of this paper is to focus on the causal relations between the financial variables of these stocks. This financial analysis can help investors to understand the characteristics of listed real estate companies, provide implications for optimal asset allocation decisions, and also increase the predictability of portfolio returns. Design/methodology/approach: In this research, the paper investigates the contemporaneous and causal relations between stock returns, trading volume and volatility in a domestic market context and between different national markets for listed real estate companies in seven Asian economies. Findings: The paper finds that there are positive contemporaneous relations between trading volume and both returns and absolute returns. When the paper examines the causal relations between the financial variables, the evidence implies that current trading volume helps to explain the returns indirectly by leading return volatility; however, trading volume does not help to explain future returns directly. Extending the causality test to international markets, the listed real estate portfolios of the four Southeast Asian countries are found to be more closely correlated than those of the other three countries studied here. Among the four Southeast Asian countries, Singapore, the only developed country, is found to play an influential role, its current financial variables having predictive power for the other countries. Originality/value: This research provides global investors with a better understanding of the Asian listed real estate market, showing that trading volume contains important information regarding returns, that the characteristics of listed real estate companies are closer to those of the financial market than those of the real estate markets, and that the markets of the major economies have extensive influence over the smaller markets. Moreover, given the scarcity of research on the performance of Asian listed real estate companies themselves, this study improves the completeness of the academic literature. © Emerald Group Publishing Limited.","author":[{"dropping-particle":"","family":"Hsieh","given":"Hui Ching Sana","non-dropping-particle":"","parse-names":false,"suffix":""}],"container-title":"International Journal of Managerial Finance","id":"ITEM-1","issue":"2","issued":{"date-parts":[["2014"]]},"page":"218-240","title":"The causal relationships between stock returns, trading volume, and volatility: Empirical evidence from Asian listed real estate companies","type":"article-journal","volume":"10"},"uris":["http://www.mendeley.com/documents/?uuid=e825015e-81ed-40c7-a507-922f8724610b","http://www.mendeley.com/documents/?uuid=821b4554-8cbd-42ca-85ac-00bb79449aed"]}],"mendeley":{"formattedCitation":"(Hsieh, 2014)","plainTextFormattedCitation":"(Hsieh, 2014)","previouslyFormattedCitation":"(Hsieh, 2014)"},"properties":{"noteIndex":0},"schema":"https://github.com/citation-style-language/schema/raw/master/csl-citation.json"}</w:instrText>
      </w:r>
      <w:r w:rsidRPr="00F10029">
        <w:rPr>
          <w:rFonts w:ascii="Times New Roman" w:hAnsi="Times New Roman" w:cs="Times New Roman"/>
          <w:bCs/>
          <w:color w:val="000000" w:themeColor="text1"/>
          <w:sz w:val="24"/>
          <w:szCs w:val="24"/>
        </w:rPr>
        <w:fldChar w:fldCharType="separate"/>
      </w:r>
      <w:r w:rsidRPr="00F10029">
        <w:rPr>
          <w:rFonts w:ascii="Times New Roman" w:hAnsi="Times New Roman" w:cs="Times New Roman"/>
          <w:bCs/>
          <w:noProof/>
          <w:color w:val="000000" w:themeColor="text1"/>
          <w:sz w:val="24"/>
          <w:szCs w:val="24"/>
        </w:rPr>
        <w:t>(</w:t>
      </w:r>
      <w:hyperlink w:anchor="Hsieh2014" w:history="1">
        <w:r w:rsidRPr="00F10029">
          <w:rPr>
            <w:rStyle w:val="Hyperlink"/>
            <w:rFonts w:ascii="Times New Roman" w:hAnsi="Times New Roman" w:cs="Times New Roman"/>
            <w:bCs/>
            <w:noProof/>
            <w:sz w:val="24"/>
            <w:szCs w:val="24"/>
            <w:u w:val="none"/>
          </w:rPr>
          <w:t>Hsieh, 2014</w:t>
        </w:r>
      </w:hyperlink>
      <w:r w:rsidRPr="00F10029">
        <w:rPr>
          <w:rFonts w:ascii="Times New Roman" w:hAnsi="Times New Roman" w:cs="Times New Roman"/>
          <w:bCs/>
          <w:noProof/>
          <w:color w:val="000000" w:themeColor="text1"/>
          <w:sz w:val="24"/>
          <w:szCs w:val="24"/>
        </w:rPr>
        <w:t>)</w:t>
      </w:r>
      <w:r w:rsidRPr="00F10029">
        <w:rPr>
          <w:rFonts w:ascii="Times New Roman" w:hAnsi="Times New Roman" w:cs="Times New Roman"/>
          <w:bCs/>
          <w:color w:val="000000" w:themeColor="text1"/>
          <w:sz w:val="24"/>
          <w:szCs w:val="24"/>
        </w:rPr>
        <w:fldChar w:fldCharType="end"/>
      </w:r>
      <w:r w:rsidRPr="00F10029">
        <w:rPr>
          <w:rFonts w:ascii="Times New Roman" w:hAnsi="Times New Roman" w:cs="Times New Roman"/>
          <w:bCs/>
          <w:color w:val="000000" w:themeColor="text1"/>
          <w:sz w:val="24"/>
          <w:szCs w:val="24"/>
        </w:rPr>
        <w:t xml:space="preserve">. The following are the results of the paired sample t-test test before and after the announcement </w:t>
      </w:r>
      <w:r w:rsidRPr="00F10029">
        <w:rPr>
          <w:rFonts w:ascii="Times New Roman" w:hAnsi="Times New Roman" w:cs="Times New Roman"/>
          <w:sz w:val="24"/>
          <w:szCs w:val="24"/>
        </w:rPr>
        <w:t>of the first COVID-19 case in Indonesia</w:t>
      </w:r>
      <w:r w:rsidRPr="00F10029">
        <w:rPr>
          <w:rFonts w:ascii="Times New Roman" w:hAnsi="Times New Roman" w:cs="Times New Roman"/>
          <w:bCs/>
          <w:color w:val="000000" w:themeColor="text1"/>
          <w:sz w:val="24"/>
          <w:szCs w:val="24"/>
        </w:rPr>
        <w:t xml:space="preserve"> in all sub-sectors:</w:t>
      </w:r>
    </w:p>
    <w:p w14:paraId="0CF1EE6F" w14:textId="77777777" w:rsidR="00E93FB4" w:rsidRPr="00F10029" w:rsidRDefault="00E93FB4" w:rsidP="00E93FB4">
      <w:pPr>
        <w:spacing w:after="0" w:line="240" w:lineRule="auto"/>
        <w:jc w:val="both"/>
        <w:rPr>
          <w:rFonts w:ascii="Times New Roman" w:hAnsi="Times New Roman" w:cs="Times New Roman"/>
          <w:bCs/>
          <w:color w:val="000000" w:themeColor="text1"/>
          <w:sz w:val="24"/>
          <w:szCs w:val="24"/>
        </w:rPr>
      </w:pPr>
    </w:p>
    <w:p w14:paraId="4A6F4406" w14:textId="1E2FB9BE" w:rsidR="00E93FB4" w:rsidRPr="00F10029" w:rsidRDefault="00E93FB4" w:rsidP="00E93FB4">
      <w:pPr>
        <w:spacing w:after="0" w:line="240" w:lineRule="auto"/>
        <w:jc w:val="center"/>
        <w:rPr>
          <w:rFonts w:ascii="Times New Roman" w:hAnsi="Times New Roman" w:cs="Times New Roman"/>
          <w:bCs/>
          <w:color w:val="000000" w:themeColor="text1"/>
        </w:rPr>
      </w:pPr>
      <w:r w:rsidRPr="00F10029">
        <w:rPr>
          <w:rFonts w:ascii="Times New Roman" w:hAnsi="Times New Roman" w:cs="Times New Roman"/>
          <w:bCs/>
          <w:color w:val="000000" w:themeColor="text1"/>
        </w:rPr>
        <w:t xml:space="preserve">Table </w:t>
      </w:r>
      <w:r w:rsidRPr="00F10029">
        <w:rPr>
          <w:rFonts w:ascii="Times New Roman" w:hAnsi="Times New Roman" w:cs="Times New Roman"/>
          <w:bCs/>
          <w:color w:val="000000" w:themeColor="text1"/>
          <w:lang w:val="id-ID"/>
        </w:rPr>
        <w:t>1</w:t>
      </w:r>
      <w:r w:rsidRPr="00F10029">
        <w:rPr>
          <w:rFonts w:ascii="Times New Roman" w:hAnsi="Times New Roman" w:cs="Times New Roman"/>
          <w:bCs/>
          <w:color w:val="000000" w:themeColor="text1"/>
        </w:rPr>
        <w:t xml:space="preserve">. </w:t>
      </w:r>
      <w:r w:rsidRPr="00F10029">
        <w:rPr>
          <w:rFonts w:ascii="Times New Roman" w:hAnsi="Times New Roman" w:cs="Times New Roman"/>
          <w:bCs/>
        </w:rPr>
        <w:t>Results of the Paired-Sample t-test of Average Trading Volume Activity</w:t>
      </w:r>
    </w:p>
    <w:tbl>
      <w:tblPr>
        <w:tblStyle w:val="TableGrid"/>
        <w:tblW w:w="0" w:type="auto"/>
        <w:tblLook w:val="04A0" w:firstRow="1" w:lastRow="0" w:firstColumn="1" w:lastColumn="0" w:noHBand="0" w:noVBand="1"/>
      </w:tblPr>
      <w:tblGrid>
        <w:gridCol w:w="3159"/>
        <w:gridCol w:w="1946"/>
        <w:gridCol w:w="2283"/>
        <w:gridCol w:w="1684"/>
      </w:tblGrid>
      <w:tr w:rsidR="00E93FB4" w:rsidRPr="00F10029" w14:paraId="7740431B" w14:textId="77777777" w:rsidTr="00E93FB4">
        <w:tc>
          <w:tcPr>
            <w:tcW w:w="3159" w:type="dxa"/>
            <w:tcBorders>
              <w:left w:val="nil"/>
              <w:bottom w:val="single" w:sz="4" w:space="0" w:color="auto"/>
              <w:right w:val="nil"/>
            </w:tcBorders>
            <w:vAlign w:val="center"/>
          </w:tcPr>
          <w:p w14:paraId="29917C6A" w14:textId="77777777" w:rsidR="00E93FB4" w:rsidRPr="00F10029" w:rsidRDefault="00E93FB4" w:rsidP="00E93FB4">
            <w:pPr>
              <w:jc w:val="center"/>
              <w:rPr>
                <w:rFonts w:cs="Times New Roman"/>
                <w:b/>
                <w:sz w:val="22"/>
              </w:rPr>
            </w:pPr>
            <w:r w:rsidRPr="00F10029">
              <w:rPr>
                <w:rFonts w:cs="Times New Roman"/>
                <w:b/>
                <w:sz w:val="22"/>
              </w:rPr>
              <w:t>Sub-Sector</w:t>
            </w:r>
          </w:p>
        </w:tc>
        <w:tc>
          <w:tcPr>
            <w:tcW w:w="1946" w:type="dxa"/>
            <w:tcBorders>
              <w:left w:val="nil"/>
              <w:bottom w:val="single" w:sz="4" w:space="0" w:color="auto"/>
              <w:right w:val="nil"/>
            </w:tcBorders>
            <w:vAlign w:val="center"/>
          </w:tcPr>
          <w:p w14:paraId="4D5EA701" w14:textId="77777777" w:rsidR="00E93FB4" w:rsidRPr="00F10029" w:rsidRDefault="00E93FB4" w:rsidP="00E93FB4">
            <w:pPr>
              <w:ind w:left="900"/>
              <w:jc w:val="center"/>
              <w:rPr>
                <w:rFonts w:cs="Times New Roman"/>
                <w:b/>
                <w:sz w:val="22"/>
              </w:rPr>
            </w:pPr>
            <w:r w:rsidRPr="00F10029">
              <w:rPr>
                <w:rFonts w:cs="Times New Roman"/>
                <w:b/>
                <w:sz w:val="22"/>
              </w:rPr>
              <w:t>t-value</w:t>
            </w:r>
          </w:p>
        </w:tc>
        <w:tc>
          <w:tcPr>
            <w:tcW w:w="2283" w:type="dxa"/>
            <w:tcBorders>
              <w:left w:val="nil"/>
              <w:bottom w:val="single" w:sz="4" w:space="0" w:color="auto"/>
              <w:right w:val="nil"/>
            </w:tcBorders>
            <w:vAlign w:val="center"/>
          </w:tcPr>
          <w:p w14:paraId="4339A98E" w14:textId="77777777" w:rsidR="00E93FB4" w:rsidRPr="00F10029" w:rsidRDefault="00E93FB4" w:rsidP="00E93FB4">
            <w:pPr>
              <w:ind w:left="900"/>
              <w:jc w:val="center"/>
              <w:rPr>
                <w:rFonts w:cs="Times New Roman"/>
                <w:b/>
                <w:sz w:val="22"/>
              </w:rPr>
            </w:pPr>
            <w:r w:rsidRPr="00F10029">
              <w:rPr>
                <w:rFonts w:cs="Times New Roman"/>
                <w:b/>
                <w:sz w:val="22"/>
              </w:rPr>
              <w:t>Probability-t</w:t>
            </w:r>
          </w:p>
        </w:tc>
        <w:tc>
          <w:tcPr>
            <w:tcW w:w="1684" w:type="dxa"/>
            <w:tcBorders>
              <w:left w:val="nil"/>
              <w:bottom w:val="single" w:sz="4" w:space="0" w:color="auto"/>
              <w:right w:val="nil"/>
            </w:tcBorders>
            <w:vAlign w:val="center"/>
          </w:tcPr>
          <w:p w14:paraId="162A7E69" w14:textId="77777777" w:rsidR="00E93FB4" w:rsidRPr="00F10029" w:rsidRDefault="00E93FB4" w:rsidP="00E93FB4">
            <w:pPr>
              <w:jc w:val="center"/>
              <w:rPr>
                <w:rFonts w:cs="Times New Roman"/>
                <w:b/>
                <w:sz w:val="22"/>
              </w:rPr>
            </w:pPr>
            <w:r w:rsidRPr="00F10029">
              <w:rPr>
                <w:rFonts w:cs="Times New Roman"/>
                <w:b/>
                <w:sz w:val="22"/>
              </w:rPr>
              <w:t>Hypothesis Result</w:t>
            </w:r>
          </w:p>
        </w:tc>
      </w:tr>
      <w:tr w:rsidR="00E93FB4" w:rsidRPr="00F10029" w14:paraId="190672A9" w14:textId="77777777" w:rsidTr="00E93FB4">
        <w:tc>
          <w:tcPr>
            <w:tcW w:w="3159" w:type="dxa"/>
            <w:tcBorders>
              <w:left w:val="nil"/>
              <w:bottom w:val="nil"/>
              <w:right w:val="nil"/>
            </w:tcBorders>
            <w:vAlign w:val="center"/>
          </w:tcPr>
          <w:p w14:paraId="775B4F27" w14:textId="77777777" w:rsidR="00E93FB4" w:rsidRPr="00F10029" w:rsidRDefault="00E93FB4" w:rsidP="00E93FB4">
            <w:pPr>
              <w:rPr>
                <w:rFonts w:cs="Times New Roman"/>
                <w:bCs/>
                <w:sz w:val="22"/>
              </w:rPr>
            </w:pPr>
            <w:r w:rsidRPr="00F10029">
              <w:rPr>
                <w:rFonts w:cs="Times New Roman"/>
                <w:sz w:val="22"/>
              </w:rPr>
              <w:t>Pharmaceutical</w:t>
            </w:r>
          </w:p>
        </w:tc>
        <w:tc>
          <w:tcPr>
            <w:tcW w:w="1946" w:type="dxa"/>
            <w:tcBorders>
              <w:left w:val="nil"/>
              <w:bottom w:val="nil"/>
              <w:right w:val="nil"/>
            </w:tcBorders>
            <w:vAlign w:val="center"/>
          </w:tcPr>
          <w:p w14:paraId="04F87E30" w14:textId="77777777" w:rsidR="00E93FB4" w:rsidRPr="00F10029" w:rsidRDefault="00E93FB4" w:rsidP="00E93FB4">
            <w:pPr>
              <w:ind w:left="900"/>
              <w:rPr>
                <w:rFonts w:cs="Times New Roman"/>
                <w:bCs/>
                <w:sz w:val="22"/>
              </w:rPr>
            </w:pPr>
            <w:r w:rsidRPr="00F10029">
              <w:rPr>
                <w:rFonts w:cs="Times New Roman"/>
                <w:sz w:val="22"/>
              </w:rPr>
              <w:t>3.8772</w:t>
            </w:r>
          </w:p>
        </w:tc>
        <w:tc>
          <w:tcPr>
            <w:tcW w:w="2283" w:type="dxa"/>
            <w:tcBorders>
              <w:left w:val="nil"/>
              <w:bottom w:val="nil"/>
              <w:right w:val="nil"/>
            </w:tcBorders>
            <w:vAlign w:val="center"/>
          </w:tcPr>
          <w:p w14:paraId="4C0DA405" w14:textId="77777777" w:rsidR="00E93FB4" w:rsidRPr="00F10029" w:rsidRDefault="00E93FB4" w:rsidP="00E93FB4">
            <w:pPr>
              <w:ind w:left="900"/>
              <w:rPr>
                <w:rFonts w:cs="Times New Roman"/>
                <w:bCs/>
                <w:sz w:val="22"/>
              </w:rPr>
            </w:pPr>
            <w:r w:rsidRPr="00F10029">
              <w:rPr>
                <w:rFonts w:cs="Times New Roman"/>
                <w:sz w:val="22"/>
              </w:rPr>
              <w:t>0.0019</w:t>
            </w:r>
          </w:p>
        </w:tc>
        <w:tc>
          <w:tcPr>
            <w:tcW w:w="1684" w:type="dxa"/>
            <w:tcBorders>
              <w:left w:val="nil"/>
              <w:bottom w:val="nil"/>
              <w:right w:val="nil"/>
            </w:tcBorders>
            <w:vAlign w:val="center"/>
          </w:tcPr>
          <w:p w14:paraId="425A3094" w14:textId="77777777" w:rsidR="00E93FB4" w:rsidRPr="00F10029" w:rsidRDefault="00E93FB4" w:rsidP="00E93FB4">
            <w:pPr>
              <w:rPr>
                <w:rFonts w:cs="Times New Roman"/>
                <w:bCs/>
                <w:sz w:val="22"/>
              </w:rPr>
            </w:pPr>
            <w:r w:rsidRPr="00F10029">
              <w:rPr>
                <w:rFonts w:cs="Times New Roman"/>
                <w:bCs/>
                <w:sz w:val="22"/>
              </w:rPr>
              <w:t>H1 Accepted</w:t>
            </w:r>
          </w:p>
        </w:tc>
      </w:tr>
      <w:tr w:rsidR="00E93FB4" w:rsidRPr="00F10029" w14:paraId="442B43AD" w14:textId="77777777" w:rsidTr="00E93FB4">
        <w:tc>
          <w:tcPr>
            <w:tcW w:w="3159" w:type="dxa"/>
            <w:tcBorders>
              <w:top w:val="nil"/>
              <w:left w:val="nil"/>
              <w:bottom w:val="nil"/>
              <w:right w:val="nil"/>
            </w:tcBorders>
            <w:vAlign w:val="center"/>
          </w:tcPr>
          <w:p w14:paraId="27698F85" w14:textId="77777777" w:rsidR="00E93FB4" w:rsidRPr="00F10029" w:rsidRDefault="00E93FB4" w:rsidP="00E93FB4">
            <w:pPr>
              <w:rPr>
                <w:rFonts w:cs="Times New Roman"/>
                <w:bCs/>
                <w:sz w:val="22"/>
              </w:rPr>
            </w:pPr>
            <w:r w:rsidRPr="00F10029">
              <w:rPr>
                <w:rFonts w:cs="Times New Roman"/>
                <w:sz w:val="22"/>
              </w:rPr>
              <w:t>Food and Beverages</w:t>
            </w:r>
          </w:p>
        </w:tc>
        <w:tc>
          <w:tcPr>
            <w:tcW w:w="1946" w:type="dxa"/>
            <w:tcBorders>
              <w:top w:val="nil"/>
              <w:left w:val="nil"/>
              <w:bottom w:val="nil"/>
              <w:right w:val="nil"/>
            </w:tcBorders>
            <w:vAlign w:val="center"/>
          </w:tcPr>
          <w:p w14:paraId="17B397CB" w14:textId="77777777" w:rsidR="00E93FB4" w:rsidRPr="00F10029" w:rsidRDefault="00E93FB4" w:rsidP="00E93FB4">
            <w:pPr>
              <w:ind w:left="900"/>
              <w:rPr>
                <w:rFonts w:cs="Times New Roman"/>
                <w:bCs/>
                <w:sz w:val="22"/>
              </w:rPr>
            </w:pPr>
            <w:r w:rsidRPr="00F10029">
              <w:rPr>
                <w:rFonts w:cs="Times New Roman"/>
                <w:sz w:val="22"/>
              </w:rPr>
              <w:t>-0.8699</w:t>
            </w:r>
          </w:p>
        </w:tc>
        <w:tc>
          <w:tcPr>
            <w:tcW w:w="2283" w:type="dxa"/>
            <w:tcBorders>
              <w:top w:val="nil"/>
              <w:left w:val="nil"/>
              <w:bottom w:val="nil"/>
              <w:right w:val="nil"/>
            </w:tcBorders>
            <w:vAlign w:val="center"/>
          </w:tcPr>
          <w:p w14:paraId="5FD2FC3E" w14:textId="77777777" w:rsidR="00E93FB4" w:rsidRPr="00F10029" w:rsidRDefault="00E93FB4" w:rsidP="00E93FB4">
            <w:pPr>
              <w:ind w:left="900"/>
              <w:rPr>
                <w:rFonts w:cs="Times New Roman"/>
                <w:bCs/>
                <w:sz w:val="22"/>
              </w:rPr>
            </w:pPr>
            <w:r w:rsidRPr="00F10029">
              <w:rPr>
                <w:rFonts w:cs="Times New Roman"/>
                <w:bCs/>
                <w:sz w:val="22"/>
              </w:rPr>
              <w:t>0.2035</w:t>
            </w:r>
          </w:p>
        </w:tc>
        <w:tc>
          <w:tcPr>
            <w:tcW w:w="1684" w:type="dxa"/>
            <w:tcBorders>
              <w:top w:val="nil"/>
              <w:left w:val="nil"/>
              <w:bottom w:val="nil"/>
              <w:right w:val="nil"/>
            </w:tcBorders>
            <w:vAlign w:val="center"/>
          </w:tcPr>
          <w:p w14:paraId="3C23CAE3" w14:textId="77777777" w:rsidR="00E93FB4" w:rsidRPr="00F10029" w:rsidRDefault="00E93FB4" w:rsidP="00E93FB4">
            <w:pPr>
              <w:rPr>
                <w:rFonts w:cs="Times New Roman"/>
                <w:bCs/>
                <w:sz w:val="22"/>
              </w:rPr>
            </w:pPr>
            <w:r w:rsidRPr="00F10029">
              <w:rPr>
                <w:rFonts w:cs="Times New Roman"/>
                <w:bCs/>
                <w:sz w:val="22"/>
              </w:rPr>
              <w:t>H1 rejected</w:t>
            </w:r>
          </w:p>
        </w:tc>
      </w:tr>
      <w:tr w:rsidR="00E93FB4" w:rsidRPr="00F10029" w14:paraId="799D8801" w14:textId="77777777" w:rsidTr="00E93FB4">
        <w:tc>
          <w:tcPr>
            <w:tcW w:w="3159" w:type="dxa"/>
            <w:tcBorders>
              <w:top w:val="nil"/>
              <w:left w:val="nil"/>
              <w:bottom w:val="nil"/>
              <w:right w:val="nil"/>
            </w:tcBorders>
            <w:vAlign w:val="center"/>
          </w:tcPr>
          <w:p w14:paraId="4AD01C30" w14:textId="77777777" w:rsidR="00E93FB4" w:rsidRPr="00F10029" w:rsidRDefault="00E93FB4" w:rsidP="00E93FB4">
            <w:pPr>
              <w:rPr>
                <w:rFonts w:cs="Times New Roman"/>
                <w:bCs/>
                <w:sz w:val="22"/>
              </w:rPr>
            </w:pPr>
            <w:r w:rsidRPr="00F10029">
              <w:rPr>
                <w:rFonts w:cs="Times New Roman"/>
                <w:bCs/>
                <w:color w:val="000000" w:themeColor="text1"/>
                <w:sz w:val="22"/>
              </w:rPr>
              <w:t>Telecommunications</w:t>
            </w:r>
          </w:p>
        </w:tc>
        <w:tc>
          <w:tcPr>
            <w:tcW w:w="1946" w:type="dxa"/>
            <w:tcBorders>
              <w:top w:val="nil"/>
              <w:left w:val="nil"/>
              <w:bottom w:val="nil"/>
              <w:right w:val="nil"/>
            </w:tcBorders>
            <w:vAlign w:val="center"/>
          </w:tcPr>
          <w:p w14:paraId="2CD63D33" w14:textId="77777777" w:rsidR="00E93FB4" w:rsidRPr="00F10029" w:rsidRDefault="00E93FB4" w:rsidP="00E93FB4">
            <w:pPr>
              <w:ind w:left="900"/>
              <w:rPr>
                <w:rFonts w:cs="Times New Roman"/>
                <w:bCs/>
                <w:sz w:val="22"/>
              </w:rPr>
            </w:pPr>
            <w:r w:rsidRPr="00F10029">
              <w:rPr>
                <w:rFonts w:cs="Times New Roman"/>
                <w:sz w:val="22"/>
              </w:rPr>
              <w:t>0.662</w:t>
            </w:r>
          </w:p>
        </w:tc>
        <w:tc>
          <w:tcPr>
            <w:tcW w:w="2283" w:type="dxa"/>
            <w:tcBorders>
              <w:top w:val="nil"/>
              <w:left w:val="nil"/>
              <w:bottom w:val="nil"/>
              <w:right w:val="nil"/>
            </w:tcBorders>
            <w:vAlign w:val="center"/>
          </w:tcPr>
          <w:p w14:paraId="31F68640" w14:textId="77777777" w:rsidR="00E93FB4" w:rsidRPr="00F10029" w:rsidRDefault="00E93FB4" w:rsidP="00E93FB4">
            <w:pPr>
              <w:ind w:left="900"/>
              <w:rPr>
                <w:rFonts w:cs="Times New Roman"/>
                <w:bCs/>
                <w:sz w:val="22"/>
              </w:rPr>
            </w:pPr>
            <w:r w:rsidRPr="00F10029">
              <w:rPr>
                <w:rFonts w:cs="Times New Roman"/>
                <w:sz w:val="22"/>
              </w:rPr>
              <w:t>0.262</w:t>
            </w:r>
          </w:p>
        </w:tc>
        <w:tc>
          <w:tcPr>
            <w:tcW w:w="1684" w:type="dxa"/>
            <w:tcBorders>
              <w:top w:val="nil"/>
              <w:left w:val="nil"/>
              <w:bottom w:val="nil"/>
              <w:right w:val="nil"/>
            </w:tcBorders>
            <w:vAlign w:val="center"/>
          </w:tcPr>
          <w:p w14:paraId="59890BFB" w14:textId="77777777" w:rsidR="00E93FB4" w:rsidRPr="00F10029" w:rsidRDefault="00E93FB4" w:rsidP="00E93FB4">
            <w:pPr>
              <w:rPr>
                <w:rFonts w:cs="Times New Roman"/>
                <w:bCs/>
                <w:sz w:val="22"/>
              </w:rPr>
            </w:pPr>
            <w:r w:rsidRPr="00F10029">
              <w:rPr>
                <w:rFonts w:cs="Times New Roman"/>
                <w:bCs/>
                <w:sz w:val="22"/>
              </w:rPr>
              <w:t>H1 rejected</w:t>
            </w:r>
          </w:p>
        </w:tc>
      </w:tr>
      <w:tr w:rsidR="00E93FB4" w:rsidRPr="00F10029" w14:paraId="3B59FA83" w14:textId="77777777" w:rsidTr="00E93FB4">
        <w:tc>
          <w:tcPr>
            <w:tcW w:w="3159" w:type="dxa"/>
            <w:tcBorders>
              <w:top w:val="nil"/>
              <w:left w:val="nil"/>
              <w:right w:val="nil"/>
            </w:tcBorders>
            <w:vAlign w:val="center"/>
          </w:tcPr>
          <w:p w14:paraId="2B7776D1" w14:textId="77777777" w:rsidR="00E93FB4" w:rsidRPr="00F10029" w:rsidRDefault="00E93FB4" w:rsidP="00E93FB4">
            <w:pPr>
              <w:rPr>
                <w:rFonts w:cs="Times New Roman"/>
                <w:bCs/>
                <w:sz w:val="22"/>
              </w:rPr>
            </w:pPr>
            <w:r w:rsidRPr="00F10029">
              <w:rPr>
                <w:rFonts w:cs="Times New Roman"/>
                <w:bCs/>
                <w:color w:val="000000" w:themeColor="text1"/>
                <w:sz w:val="22"/>
              </w:rPr>
              <w:t>Transportation</w:t>
            </w:r>
          </w:p>
        </w:tc>
        <w:tc>
          <w:tcPr>
            <w:tcW w:w="1946" w:type="dxa"/>
            <w:tcBorders>
              <w:top w:val="nil"/>
              <w:left w:val="nil"/>
              <w:right w:val="nil"/>
            </w:tcBorders>
            <w:vAlign w:val="center"/>
          </w:tcPr>
          <w:p w14:paraId="2115EB7F" w14:textId="77777777" w:rsidR="00E93FB4" w:rsidRPr="00F10029" w:rsidRDefault="00E93FB4" w:rsidP="00E93FB4">
            <w:pPr>
              <w:ind w:left="900"/>
              <w:rPr>
                <w:rFonts w:cs="Times New Roman"/>
                <w:bCs/>
                <w:sz w:val="22"/>
              </w:rPr>
            </w:pPr>
            <w:r w:rsidRPr="00F10029">
              <w:rPr>
                <w:rFonts w:cs="Times New Roman"/>
                <w:sz w:val="22"/>
              </w:rPr>
              <w:t>-0.155</w:t>
            </w:r>
          </w:p>
        </w:tc>
        <w:tc>
          <w:tcPr>
            <w:tcW w:w="2283" w:type="dxa"/>
            <w:tcBorders>
              <w:top w:val="nil"/>
              <w:left w:val="nil"/>
              <w:right w:val="nil"/>
            </w:tcBorders>
            <w:vAlign w:val="center"/>
          </w:tcPr>
          <w:p w14:paraId="60F82A1F" w14:textId="77777777" w:rsidR="00E93FB4" w:rsidRPr="00F10029" w:rsidRDefault="00E93FB4" w:rsidP="00E93FB4">
            <w:pPr>
              <w:ind w:left="900"/>
              <w:rPr>
                <w:rFonts w:cs="Times New Roman"/>
                <w:bCs/>
                <w:sz w:val="22"/>
              </w:rPr>
            </w:pPr>
            <w:r w:rsidRPr="00F10029">
              <w:rPr>
                <w:rFonts w:cs="Times New Roman"/>
                <w:sz w:val="22"/>
              </w:rPr>
              <w:t>0.442</w:t>
            </w:r>
          </w:p>
        </w:tc>
        <w:tc>
          <w:tcPr>
            <w:tcW w:w="1684" w:type="dxa"/>
            <w:tcBorders>
              <w:top w:val="nil"/>
              <w:left w:val="nil"/>
              <w:right w:val="nil"/>
            </w:tcBorders>
            <w:vAlign w:val="center"/>
          </w:tcPr>
          <w:p w14:paraId="2B74CFF0" w14:textId="77777777" w:rsidR="00E93FB4" w:rsidRPr="00F10029" w:rsidRDefault="00E93FB4" w:rsidP="00E93FB4">
            <w:pPr>
              <w:rPr>
                <w:rFonts w:cs="Times New Roman"/>
                <w:bCs/>
                <w:sz w:val="22"/>
              </w:rPr>
            </w:pPr>
            <w:r w:rsidRPr="00F10029">
              <w:rPr>
                <w:rFonts w:cs="Times New Roman"/>
                <w:bCs/>
                <w:sz w:val="22"/>
              </w:rPr>
              <w:t>H1 rejected</w:t>
            </w:r>
          </w:p>
        </w:tc>
      </w:tr>
    </w:tbl>
    <w:p w14:paraId="05EC42A5" w14:textId="77777777" w:rsidR="00E93FB4" w:rsidRPr="00F10029" w:rsidRDefault="00E93FB4" w:rsidP="00E93FB4">
      <w:pPr>
        <w:spacing w:after="0" w:line="240" w:lineRule="auto"/>
        <w:rPr>
          <w:rFonts w:ascii="Times New Roman" w:hAnsi="Times New Roman" w:cs="Times New Roman"/>
          <w:color w:val="000000" w:themeColor="text1"/>
        </w:rPr>
      </w:pPr>
      <w:r w:rsidRPr="00F10029">
        <w:rPr>
          <w:rFonts w:ascii="Times New Roman" w:hAnsi="Times New Roman" w:cs="Times New Roman"/>
          <w:color w:val="000000" w:themeColor="text1"/>
        </w:rPr>
        <w:t>Source: Statistical Result</w:t>
      </w:r>
    </w:p>
    <w:p w14:paraId="641951A9" w14:textId="77777777" w:rsidR="00E93FB4" w:rsidRPr="00F10029" w:rsidRDefault="00E93FB4" w:rsidP="00E93FB4">
      <w:pPr>
        <w:spacing w:after="0" w:line="240" w:lineRule="auto"/>
        <w:ind w:firstLine="567"/>
        <w:jc w:val="both"/>
        <w:rPr>
          <w:rFonts w:ascii="Times New Roman" w:hAnsi="Times New Roman" w:cs="Times New Roman"/>
          <w:sz w:val="24"/>
          <w:szCs w:val="24"/>
        </w:rPr>
      </w:pPr>
    </w:p>
    <w:p w14:paraId="0D91A52B" w14:textId="77777777" w:rsidR="00C07DC6" w:rsidRPr="00F10029" w:rsidRDefault="00E93FB4" w:rsidP="00C07DC6">
      <w:pPr>
        <w:spacing w:after="0" w:line="240" w:lineRule="auto"/>
        <w:ind w:firstLine="567"/>
        <w:jc w:val="both"/>
        <w:rPr>
          <w:rFonts w:ascii="Times New Roman" w:hAnsi="Times New Roman" w:cs="Times New Roman"/>
          <w:sz w:val="24"/>
          <w:szCs w:val="24"/>
        </w:rPr>
      </w:pPr>
      <w:r w:rsidRPr="00F10029">
        <w:rPr>
          <w:rFonts w:ascii="Times New Roman" w:hAnsi="Times New Roman" w:cs="Times New Roman"/>
          <w:sz w:val="24"/>
          <w:szCs w:val="24"/>
        </w:rPr>
        <w:t xml:space="preserve">ATVA in pharmaceutical sub-sector stocks increased significantly after the announcement with a t value of 3.8772 and a t probability of 0.0019. It indicates that investors responded to the information by actively buying and selling shares after the announcement. Pharmaceutical stocks increased significantly due to the COVID-19 pandemic and Lockdown. Investor's heavily hunting Pharmaceutical stocks, so prices are rising. The cost of pharmaceutical supplies has increased dramatically. The price increase range is between 18% - 424% </w:t>
      </w:r>
      <w:r w:rsidRPr="00F10029">
        <w:rPr>
          <w:rFonts w:ascii="Times New Roman" w:hAnsi="Times New Roman" w:cs="Times New Roman"/>
          <w:sz w:val="24"/>
          <w:szCs w:val="24"/>
        </w:rPr>
        <w:fldChar w:fldCharType="begin" w:fldLock="1"/>
      </w:r>
      <w:r w:rsidRPr="00F10029">
        <w:rPr>
          <w:rFonts w:ascii="Times New Roman" w:hAnsi="Times New Roman" w:cs="Times New Roman"/>
          <w:sz w:val="24"/>
          <w:szCs w:val="24"/>
        </w:rPr>
        <w:instrText>ADDIN CSL_CITATION {"citationItems":[{"id":"ITEM-1","itemData":{"author":[{"dropping-particle":"","family":"Bisnis.com","given":"","non-dropping-particle":"","parse-names":false,"suffix":""}],"id":"ITEM-1","issued":{"date-parts":[["2020"]]},"title":"Saham Farmasi Kembali Menggila, Bagaimana Prospeknya? Artikel ini telah tayang di Bisnis.com dengan judul \"Saham Farmasi Kembali Menggila, Bagaimana Prospeknya?\", Klik selengkapnya di sini: https://market.bisnis.com/read/20200925/189/1296697/saham-farmasi","type":"webpage"},"uris":["http://www.mendeley.com/documents/?uuid=de2fed98-2ca5-40aa-8421-194097820058","http://www.mendeley.com/documents/?uuid=91b9c248-3d6f-4cf8-a616-43e5a1292694"]}],"mendeley":{"formattedCitation":"(Bisnis.com, 2020)","plainTextFormattedCitation":"(Bisnis.com, 2020)","previouslyFormattedCitation":"(Bisnis.com, 2020)"},"properties":{"noteIndex":0},"schema":"https://github.com/citation-style-language/schema/raw/master/csl-citation.json"}</w:instrText>
      </w:r>
      <w:r w:rsidRPr="00F10029">
        <w:rPr>
          <w:rFonts w:ascii="Times New Roman" w:hAnsi="Times New Roman" w:cs="Times New Roman"/>
          <w:sz w:val="24"/>
          <w:szCs w:val="24"/>
        </w:rPr>
        <w:fldChar w:fldCharType="separate"/>
      </w:r>
      <w:r w:rsidRPr="00F10029">
        <w:rPr>
          <w:rFonts w:ascii="Times New Roman" w:hAnsi="Times New Roman" w:cs="Times New Roman"/>
          <w:noProof/>
          <w:sz w:val="24"/>
          <w:szCs w:val="24"/>
        </w:rPr>
        <w:t>(</w:t>
      </w:r>
      <w:hyperlink w:anchor="Bisnis2020" w:history="1">
        <w:r w:rsidRPr="00F10029">
          <w:rPr>
            <w:rStyle w:val="Hyperlink"/>
            <w:rFonts w:ascii="Times New Roman" w:hAnsi="Times New Roman" w:cs="Times New Roman"/>
            <w:noProof/>
            <w:sz w:val="24"/>
            <w:szCs w:val="24"/>
            <w:u w:val="none"/>
          </w:rPr>
          <w:t>Bisnis.com, 2020)</w:t>
        </w:r>
      </w:hyperlink>
      <w:r w:rsidRPr="00F10029">
        <w:rPr>
          <w:rFonts w:ascii="Times New Roman" w:hAnsi="Times New Roman" w:cs="Times New Roman"/>
          <w:sz w:val="24"/>
          <w:szCs w:val="24"/>
        </w:rPr>
        <w:fldChar w:fldCharType="end"/>
      </w:r>
      <w:r w:rsidRPr="00F10029">
        <w:rPr>
          <w:rFonts w:ascii="Times New Roman" w:hAnsi="Times New Roman" w:cs="Times New Roman"/>
          <w:sz w:val="24"/>
          <w:szCs w:val="24"/>
        </w:rPr>
        <w:t>. Investors assume that the pharmaceutical sub-sector will survive and there will be an improvement in the company's performance. With the spike in cases of COVID-19, there was an increase in the need for medical devices for health services during the pandemic; many pharmaceutical business segments experienced a rise. Investors are interested in the prospects of the pharmaceutical industry in the future.</w:t>
      </w:r>
    </w:p>
    <w:p w14:paraId="37305C9F" w14:textId="77777777" w:rsidR="00C07DC6" w:rsidRPr="00F10029" w:rsidRDefault="00E93FB4" w:rsidP="00C07DC6">
      <w:pPr>
        <w:spacing w:after="0" w:line="240" w:lineRule="auto"/>
        <w:ind w:firstLine="567"/>
        <w:jc w:val="both"/>
        <w:rPr>
          <w:rFonts w:ascii="Times New Roman" w:hAnsi="Times New Roman" w:cs="Times New Roman"/>
          <w:sz w:val="24"/>
          <w:szCs w:val="24"/>
        </w:rPr>
      </w:pPr>
      <w:r w:rsidRPr="00F10029">
        <w:rPr>
          <w:rFonts w:ascii="Times New Roman" w:hAnsi="Times New Roman" w:cs="Times New Roman"/>
          <w:sz w:val="24"/>
          <w:szCs w:val="24"/>
        </w:rPr>
        <w:t xml:space="preserve">There is no change in TVA in the </w:t>
      </w:r>
      <w:r w:rsidRPr="00F10029">
        <w:rPr>
          <w:rFonts w:ascii="Times New Roman" w:hAnsi="Times New Roman" w:cs="Times New Roman"/>
          <w:color w:val="000000" w:themeColor="text1"/>
          <w:sz w:val="24"/>
          <w:szCs w:val="24"/>
        </w:rPr>
        <w:t>food and beverages</w:t>
      </w:r>
      <w:r w:rsidRPr="00F10029">
        <w:rPr>
          <w:rFonts w:ascii="Times New Roman" w:hAnsi="Times New Roman" w:cs="Times New Roman"/>
          <w:sz w:val="24"/>
          <w:szCs w:val="24"/>
        </w:rPr>
        <w:t xml:space="preserve"> sub-sector. Investors can assume that the </w:t>
      </w:r>
      <w:r w:rsidRPr="00F10029">
        <w:rPr>
          <w:rFonts w:ascii="Times New Roman" w:hAnsi="Times New Roman" w:cs="Times New Roman"/>
          <w:color w:val="000000" w:themeColor="text1"/>
          <w:sz w:val="24"/>
          <w:szCs w:val="24"/>
        </w:rPr>
        <w:t>food and beverages</w:t>
      </w:r>
      <w:r w:rsidRPr="00F10029">
        <w:rPr>
          <w:rFonts w:ascii="Times New Roman" w:hAnsi="Times New Roman" w:cs="Times New Roman"/>
          <w:sz w:val="24"/>
          <w:szCs w:val="24"/>
        </w:rPr>
        <w:t xml:space="preserve"> sub-sector will not be affected by the COVID-19 pandemic. The </w:t>
      </w:r>
      <w:r w:rsidRPr="00F10029">
        <w:rPr>
          <w:rFonts w:ascii="Times New Roman" w:hAnsi="Times New Roman" w:cs="Times New Roman"/>
          <w:color w:val="000000" w:themeColor="text1"/>
          <w:sz w:val="24"/>
          <w:szCs w:val="24"/>
        </w:rPr>
        <w:lastRenderedPageBreak/>
        <w:t>food and beverages</w:t>
      </w:r>
      <w:r w:rsidRPr="00F10029">
        <w:rPr>
          <w:rFonts w:ascii="Times New Roman" w:hAnsi="Times New Roman" w:cs="Times New Roman"/>
          <w:sz w:val="24"/>
          <w:szCs w:val="24"/>
        </w:rPr>
        <w:t xml:space="preserve"> industry generally persists because people always need consumer goods, and there is no decrease in demand. Most consumer goods sector issuers managed to maintain their performance growth amidst business challenges due to the COVID-19 pandemic. For many companies that have released financial statements in the first half of 2020, consumer goods sector issuers are the most superior sector compared to other industries </w:t>
      </w:r>
      <w:r w:rsidRPr="00F10029">
        <w:rPr>
          <w:rFonts w:ascii="Times New Roman" w:hAnsi="Times New Roman" w:cs="Times New Roman"/>
          <w:sz w:val="24"/>
          <w:szCs w:val="24"/>
        </w:rPr>
        <w:fldChar w:fldCharType="begin" w:fldLock="1"/>
      </w:r>
      <w:r w:rsidRPr="00F10029">
        <w:rPr>
          <w:rFonts w:ascii="Times New Roman" w:hAnsi="Times New Roman" w:cs="Times New Roman"/>
          <w:sz w:val="24"/>
          <w:szCs w:val="24"/>
        </w:rPr>
        <w:instrText>ADDIN CSL_CITATION {"citationItems":[{"id":"ITEM-1","itemData":{"author":[{"dropping-particle":"","family":"Ulfah","given":"Finna U.","non-dropping-particle":"","parse-names":false,"suffix":""}],"id":"ITEM-1","issued":{"date-parts":[["2020"]]},"title":"Ini Proyeksi Emiten Sektor Barang Konsumsi di Semester II/2020 Artikel ini telah tayang di Bisnis.com dengan judul \"Ini Proyeksi Emiten Sektor Barang Konsumsi di Semester II/2020\", Klik selengkapnya di sini: https://market.bisnis.com/read/20200802/189/127","type":"webpage"},"uris":["http://www.mendeley.com/documents/?uuid=8289c22a-24cb-42cb-91bd-0de8d9c05116","http://www.mendeley.com/documents/?uuid=a3f26422-8602-4328-b3cf-7fe33930d38d"]}],"mendeley":{"formattedCitation":"(Ulfah, 2020)","plainTextFormattedCitation":"(Ulfah, 2020)","previouslyFormattedCitation":"(Ulfah, 2020)"},"properties":{"noteIndex":0},"schema":"https://github.com/citation-style-language/schema/raw/master/csl-citation.json"}</w:instrText>
      </w:r>
      <w:r w:rsidRPr="00F10029">
        <w:rPr>
          <w:rFonts w:ascii="Times New Roman" w:hAnsi="Times New Roman" w:cs="Times New Roman"/>
          <w:sz w:val="24"/>
          <w:szCs w:val="24"/>
        </w:rPr>
        <w:fldChar w:fldCharType="separate"/>
      </w:r>
      <w:r w:rsidRPr="00F10029">
        <w:rPr>
          <w:rFonts w:ascii="Times New Roman" w:hAnsi="Times New Roman" w:cs="Times New Roman"/>
          <w:noProof/>
          <w:sz w:val="24"/>
          <w:szCs w:val="24"/>
        </w:rPr>
        <w:t>(</w:t>
      </w:r>
      <w:hyperlink w:anchor="Ulfah2020" w:history="1">
        <w:r w:rsidRPr="00F10029">
          <w:rPr>
            <w:rStyle w:val="Hyperlink"/>
            <w:rFonts w:ascii="Times New Roman" w:hAnsi="Times New Roman" w:cs="Times New Roman"/>
            <w:noProof/>
            <w:sz w:val="24"/>
            <w:szCs w:val="24"/>
            <w:u w:val="none"/>
          </w:rPr>
          <w:t>Ulfah, 2020</w:t>
        </w:r>
      </w:hyperlink>
      <w:r w:rsidRPr="00F10029">
        <w:rPr>
          <w:rFonts w:ascii="Times New Roman" w:hAnsi="Times New Roman" w:cs="Times New Roman"/>
          <w:noProof/>
          <w:sz w:val="24"/>
          <w:szCs w:val="24"/>
        </w:rPr>
        <w:t>)</w:t>
      </w:r>
      <w:r w:rsidRPr="00F10029">
        <w:rPr>
          <w:rFonts w:ascii="Times New Roman" w:hAnsi="Times New Roman" w:cs="Times New Roman"/>
          <w:sz w:val="24"/>
          <w:szCs w:val="24"/>
        </w:rPr>
        <w:fldChar w:fldCharType="end"/>
      </w:r>
      <w:r w:rsidRPr="00F10029">
        <w:rPr>
          <w:rFonts w:ascii="Times New Roman" w:hAnsi="Times New Roman" w:cs="Times New Roman"/>
          <w:sz w:val="24"/>
          <w:szCs w:val="24"/>
        </w:rPr>
        <w:t>.</w:t>
      </w:r>
    </w:p>
    <w:p w14:paraId="73E6B147" w14:textId="77777777" w:rsidR="00C07DC6" w:rsidRPr="00F10029" w:rsidRDefault="00E93FB4" w:rsidP="00C07DC6">
      <w:pPr>
        <w:spacing w:after="0" w:line="240" w:lineRule="auto"/>
        <w:ind w:firstLine="567"/>
        <w:jc w:val="both"/>
        <w:rPr>
          <w:rFonts w:ascii="Times New Roman" w:hAnsi="Times New Roman" w:cs="Times New Roman"/>
          <w:sz w:val="24"/>
          <w:szCs w:val="24"/>
        </w:rPr>
      </w:pPr>
      <w:r w:rsidRPr="00F10029">
        <w:rPr>
          <w:rFonts w:ascii="Times New Roman" w:hAnsi="Times New Roman" w:cs="Times New Roman"/>
          <w:sz w:val="24"/>
          <w:szCs w:val="24"/>
        </w:rPr>
        <w:t xml:space="preserve">Shares of the telecommunications sub-sector did not show a significant change in TVA's response to the COVID-19 pandemic. Investors are still interested in this sub-sector because telecommunications is one of the basic needs of society, especially in today's digital era. Equity analysts </w:t>
      </w:r>
      <w:r w:rsidRPr="00F10029">
        <w:rPr>
          <w:rFonts w:ascii="Times New Roman" w:hAnsi="Times New Roman" w:cs="Times New Roman"/>
          <w:sz w:val="24"/>
          <w:szCs w:val="24"/>
        </w:rPr>
        <w:fldChar w:fldCharType="begin" w:fldLock="1"/>
      </w:r>
      <w:r w:rsidRPr="00F10029">
        <w:rPr>
          <w:rFonts w:ascii="Times New Roman" w:hAnsi="Times New Roman" w:cs="Times New Roman"/>
          <w:sz w:val="24"/>
          <w:szCs w:val="24"/>
        </w:rPr>
        <w:instrText>ADDIN CSL_CITATION {"citationItems":[{"id":"ITEM-1","itemData":{"author":[{"dropping-particle":"","family":"Ocktaviani","given":"Selvi","non-dropping-particle":"","parse-names":false,"suffix":""}],"id":"ITEM-1","issued":{"date-parts":[["2020"]]},"title":"Saham emiten telekomunikasi dinilai masih menarik","type":"webpage"},"uris":["http://www.mendeley.com/documents/?uuid=c220bb41-423c-44e3-80f1-173b15056756","http://www.mendeley.com/documents/?uuid=03b2dd5c-30b1-45a2-ab4f-465ab51144f1"]}],"mendeley":{"formattedCitation":"(Ocktaviani, 2020)","plainTextFormattedCitation":"(Ocktaviani, 2020)","previouslyFormattedCitation":"(Ocktaviani, 2020)"},"properties":{"noteIndex":0},"schema":"https://github.com/citation-style-language/schema/raw/master/csl-citation.json"}</w:instrText>
      </w:r>
      <w:r w:rsidRPr="00F10029">
        <w:rPr>
          <w:rFonts w:ascii="Times New Roman" w:hAnsi="Times New Roman" w:cs="Times New Roman"/>
          <w:sz w:val="24"/>
          <w:szCs w:val="24"/>
        </w:rPr>
        <w:fldChar w:fldCharType="separate"/>
      </w:r>
      <w:r w:rsidRPr="00F10029">
        <w:rPr>
          <w:rFonts w:ascii="Times New Roman" w:hAnsi="Times New Roman" w:cs="Times New Roman"/>
          <w:noProof/>
          <w:sz w:val="24"/>
          <w:szCs w:val="24"/>
        </w:rPr>
        <w:t>(</w:t>
      </w:r>
      <w:hyperlink w:anchor="Ocktaviani2020" w:history="1">
        <w:r w:rsidRPr="00F10029">
          <w:rPr>
            <w:rStyle w:val="Hyperlink"/>
            <w:rFonts w:ascii="Times New Roman" w:hAnsi="Times New Roman" w:cs="Times New Roman"/>
            <w:noProof/>
            <w:sz w:val="24"/>
            <w:szCs w:val="24"/>
            <w:u w:val="none"/>
          </w:rPr>
          <w:t>Ocktaviani, 2020</w:t>
        </w:r>
      </w:hyperlink>
      <w:r w:rsidRPr="00F10029">
        <w:rPr>
          <w:rFonts w:ascii="Times New Roman" w:hAnsi="Times New Roman" w:cs="Times New Roman"/>
          <w:noProof/>
          <w:sz w:val="24"/>
          <w:szCs w:val="24"/>
        </w:rPr>
        <w:t>)</w:t>
      </w:r>
      <w:r w:rsidRPr="00F10029">
        <w:rPr>
          <w:rFonts w:ascii="Times New Roman" w:hAnsi="Times New Roman" w:cs="Times New Roman"/>
          <w:sz w:val="24"/>
          <w:szCs w:val="24"/>
        </w:rPr>
        <w:fldChar w:fldCharType="end"/>
      </w:r>
      <w:r w:rsidRPr="00F10029">
        <w:rPr>
          <w:rFonts w:ascii="Times New Roman" w:hAnsi="Times New Roman" w:cs="Times New Roman"/>
          <w:sz w:val="24"/>
          <w:szCs w:val="24"/>
        </w:rPr>
        <w:t xml:space="preserve"> estimate the telecommunication sector as one of the resilient sectors, with minimal impact on performance, because the public's need for data and information access increases.</w:t>
      </w:r>
    </w:p>
    <w:p w14:paraId="03ADA25F" w14:textId="13851797" w:rsidR="00E93FB4" w:rsidRPr="00F10029" w:rsidRDefault="00E93FB4" w:rsidP="00C07DC6">
      <w:pPr>
        <w:spacing w:after="0" w:line="240" w:lineRule="auto"/>
        <w:ind w:firstLine="567"/>
        <w:jc w:val="both"/>
        <w:rPr>
          <w:rFonts w:ascii="Times New Roman" w:hAnsi="Times New Roman" w:cs="Times New Roman"/>
          <w:sz w:val="24"/>
          <w:szCs w:val="24"/>
        </w:rPr>
      </w:pPr>
      <w:r w:rsidRPr="00F10029">
        <w:rPr>
          <w:rFonts w:ascii="Times New Roman" w:hAnsi="Times New Roman" w:cs="Times New Roman"/>
          <w:sz w:val="24"/>
          <w:szCs w:val="24"/>
        </w:rPr>
        <w:t xml:space="preserve">There are no significant TVA differences in the transportation sub-sector. On average, investors still conduct stock trading activities in this sector typically. The transportation sector was also affected by the Covid-19 pandemic due to decreased mobility. However, logistics remain the focus because the coronavirus makes people use shipping for their </w:t>
      </w:r>
      <w:r w:rsidRPr="00F10029">
        <w:rPr>
          <w:rFonts w:ascii="Times New Roman" w:hAnsi="Times New Roman" w:cs="Times New Roman"/>
          <w:color w:val="000000" w:themeColor="text1"/>
          <w:sz w:val="24"/>
          <w:szCs w:val="24"/>
        </w:rPr>
        <w:t>food and beverages</w:t>
      </w:r>
      <w:r w:rsidRPr="00F10029">
        <w:rPr>
          <w:rFonts w:ascii="Times New Roman" w:hAnsi="Times New Roman" w:cs="Times New Roman"/>
          <w:sz w:val="24"/>
          <w:szCs w:val="24"/>
        </w:rPr>
        <w:t xml:space="preserve"> </w:t>
      </w:r>
      <w:r w:rsidRPr="00F10029">
        <w:rPr>
          <w:rFonts w:ascii="Times New Roman" w:hAnsi="Times New Roman" w:cs="Times New Roman"/>
          <w:sz w:val="24"/>
          <w:szCs w:val="24"/>
        </w:rPr>
        <w:fldChar w:fldCharType="begin" w:fldLock="1"/>
      </w:r>
      <w:r w:rsidRPr="00F10029">
        <w:rPr>
          <w:rFonts w:ascii="Times New Roman" w:hAnsi="Times New Roman" w:cs="Times New Roman"/>
          <w:sz w:val="24"/>
          <w:szCs w:val="24"/>
        </w:rPr>
        <w:instrText>ADDIN CSL_CITATION {"citationItems":[{"id":"ITEM-1","itemData":{"author":[{"dropping-particle":"","family":"Demus","given":"Maximilianus Nico","non-dropping-particle":"","parse-names":false,"suffix":""}],"id":"ITEM-1","issued":{"date-parts":[["2021"]]},"title":"Punya prospek positif, cemati saham sektor transportasi dan logistik berikut ini","type":"webpage"},"uris":["http://www.mendeley.com/documents/?uuid=397f289b-5e79-492e-a42a-c30af299dad7","http://www.mendeley.com/documents/?uuid=d8e1119d-b51b-4015-903d-d6506bb83687"]}],"mendeley":{"formattedCitation":"(Demus, 2021)","plainTextFormattedCitation":"(Demus, 2021)","previouslyFormattedCitation":"(Demus, 2021)"},"properties":{"noteIndex":0},"schema":"https://github.com/citation-style-language/schema/raw/master/csl-citation.json"}</w:instrText>
      </w:r>
      <w:r w:rsidRPr="00F10029">
        <w:rPr>
          <w:rFonts w:ascii="Times New Roman" w:hAnsi="Times New Roman" w:cs="Times New Roman"/>
          <w:sz w:val="24"/>
          <w:szCs w:val="24"/>
        </w:rPr>
        <w:fldChar w:fldCharType="separate"/>
      </w:r>
      <w:r w:rsidRPr="00F10029">
        <w:rPr>
          <w:rFonts w:ascii="Times New Roman" w:hAnsi="Times New Roman" w:cs="Times New Roman"/>
          <w:noProof/>
          <w:sz w:val="24"/>
          <w:szCs w:val="24"/>
        </w:rPr>
        <w:t>(</w:t>
      </w:r>
      <w:hyperlink w:anchor="Demus2021" w:history="1">
        <w:r w:rsidRPr="00F10029">
          <w:rPr>
            <w:rStyle w:val="Hyperlink"/>
            <w:rFonts w:ascii="Times New Roman" w:hAnsi="Times New Roman" w:cs="Times New Roman"/>
            <w:noProof/>
            <w:sz w:val="24"/>
            <w:szCs w:val="24"/>
            <w:u w:val="none"/>
          </w:rPr>
          <w:t>Demus, 2021</w:t>
        </w:r>
      </w:hyperlink>
      <w:r w:rsidRPr="00F10029">
        <w:rPr>
          <w:rFonts w:ascii="Times New Roman" w:hAnsi="Times New Roman" w:cs="Times New Roman"/>
          <w:noProof/>
          <w:sz w:val="24"/>
          <w:szCs w:val="24"/>
        </w:rPr>
        <w:t>)</w:t>
      </w:r>
      <w:r w:rsidRPr="00F10029">
        <w:rPr>
          <w:rFonts w:ascii="Times New Roman" w:hAnsi="Times New Roman" w:cs="Times New Roman"/>
          <w:sz w:val="24"/>
          <w:szCs w:val="24"/>
        </w:rPr>
        <w:fldChar w:fldCharType="end"/>
      </w:r>
      <w:r w:rsidRPr="00F10029">
        <w:rPr>
          <w:rFonts w:ascii="Times New Roman" w:hAnsi="Times New Roman" w:cs="Times New Roman"/>
          <w:sz w:val="24"/>
          <w:szCs w:val="24"/>
        </w:rPr>
        <w:t>.</w:t>
      </w:r>
    </w:p>
    <w:p w14:paraId="51F7B8C5" w14:textId="77777777" w:rsidR="00C07DC6" w:rsidRPr="00F10029" w:rsidRDefault="00C07DC6" w:rsidP="00C07DC6">
      <w:pPr>
        <w:spacing w:after="0" w:line="240" w:lineRule="auto"/>
        <w:rPr>
          <w:rFonts w:ascii="Times New Roman" w:hAnsi="Times New Roman" w:cs="Times New Roman"/>
          <w:bCs/>
          <w:i/>
          <w:iCs/>
          <w:color w:val="000000" w:themeColor="text1"/>
          <w:sz w:val="24"/>
          <w:szCs w:val="24"/>
        </w:rPr>
      </w:pPr>
    </w:p>
    <w:p w14:paraId="6549E1BE" w14:textId="49AD658F" w:rsidR="00E93FB4" w:rsidRPr="00F10029" w:rsidRDefault="00E93FB4" w:rsidP="00C07DC6">
      <w:pPr>
        <w:spacing w:after="0" w:line="240" w:lineRule="auto"/>
        <w:rPr>
          <w:rFonts w:ascii="Times New Roman" w:hAnsi="Times New Roman" w:cs="Times New Roman"/>
          <w:bCs/>
          <w:i/>
          <w:iCs/>
          <w:color w:val="000000" w:themeColor="text1"/>
          <w:sz w:val="24"/>
          <w:szCs w:val="24"/>
        </w:rPr>
      </w:pPr>
      <w:r w:rsidRPr="00F10029">
        <w:rPr>
          <w:rFonts w:ascii="Times New Roman" w:hAnsi="Times New Roman" w:cs="Times New Roman"/>
          <w:bCs/>
          <w:i/>
          <w:iCs/>
          <w:color w:val="000000" w:themeColor="text1"/>
          <w:sz w:val="24"/>
          <w:szCs w:val="24"/>
        </w:rPr>
        <w:t xml:space="preserve">Abnormal </w:t>
      </w:r>
      <w:r w:rsidR="00C07DC6" w:rsidRPr="00F10029">
        <w:rPr>
          <w:rFonts w:ascii="Times New Roman" w:hAnsi="Times New Roman" w:cs="Times New Roman"/>
          <w:bCs/>
          <w:i/>
          <w:iCs/>
          <w:color w:val="000000" w:themeColor="text1"/>
          <w:sz w:val="24"/>
          <w:szCs w:val="24"/>
        </w:rPr>
        <w:t>r</w:t>
      </w:r>
      <w:r w:rsidRPr="00F10029">
        <w:rPr>
          <w:rFonts w:ascii="Times New Roman" w:hAnsi="Times New Roman" w:cs="Times New Roman"/>
          <w:bCs/>
          <w:i/>
          <w:iCs/>
          <w:color w:val="000000" w:themeColor="text1"/>
          <w:sz w:val="24"/>
          <w:szCs w:val="24"/>
        </w:rPr>
        <w:t>eturn</w:t>
      </w:r>
    </w:p>
    <w:p w14:paraId="5E663480" w14:textId="77777777" w:rsidR="00E93FB4" w:rsidRPr="00F10029" w:rsidRDefault="00E93FB4" w:rsidP="00C07DC6">
      <w:pPr>
        <w:spacing w:after="0" w:line="240" w:lineRule="auto"/>
        <w:ind w:right="-138"/>
        <w:jc w:val="both"/>
        <w:rPr>
          <w:rFonts w:ascii="Times New Roman" w:hAnsi="Times New Roman" w:cs="Times New Roman"/>
          <w:bCs/>
          <w:color w:val="000000" w:themeColor="text1"/>
          <w:sz w:val="24"/>
          <w:szCs w:val="24"/>
        </w:rPr>
      </w:pPr>
      <w:r w:rsidRPr="00F10029">
        <w:rPr>
          <w:rFonts w:ascii="Times New Roman" w:hAnsi="Times New Roman" w:cs="Times New Roman"/>
          <w:bCs/>
          <w:color w:val="000000" w:themeColor="text1"/>
          <w:sz w:val="24"/>
          <w:szCs w:val="24"/>
        </w:rPr>
        <w:t xml:space="preserve">In the research event study, analyzing abnormal returns was done to see the efficiency of a market </w:t>
      </w:r>
      <w:r w:rsidRPr="00F10029">
        <w:rPr>
          <w:rFonts w:ascii="Times New Roman" w:hAnsi="Times New Roman" w:cs="Times New Roman"/>
          <w:bCs/>
          <w:color w:val="000000" w:themeColor="text1"/>
          <w:sz w:val="24"/>
          <w:szCs w:val="24"/>
        </w:rPr>
        <w:fldChar w:fldCharType="begin" w:fldLock="1"/>
      </w:r>
      <w:r w:rsidRPr="00F10029">
        <w:rPr>
          <w:rFonts w:ascii="Times New Roman" w:hAnsi="Times New Roman" w:cs="Times New Roman"/>
          <w:bCs/>
          <w:color w:val="000000" w:themeColor="text1"/>
          <w:sz w:val="24"/>
          <w:szCs w:val="24"/>
        </w:rPr>
        <w:instrText>ADDIN CSL_CITATION {"citationItems":[{"id":"ITEM-1","itemData":{"author":[{"dropping-particle":"","family":"Fama","given":"Eugene F.","non-dropping-particle":"","parse-names":false,"suffix":""}],"container-title":"The Journal of Finance","id":"ITEM-1","issue":"2","issued":{"date-parts":[["1970"]]},"title":"Efficient Capital Markets: A Review of Theory and Empirical Work","type":"article-journal","volume":"25"},"uris":["http://www.mendeley.com/documents/?uuid=622626c6-faed-4c1c-abbd-f15e5aba809b","http://www.mendeley.com/documents/?uuid=5885cbd2-8f2d-43cf-8198-ba803a383f39"]}],"mendeley":{"formattedCitation":"(Fama, 1970)","plainTextFormattedCitation":"(Fama, 1970)","previouslyFormattedCitation":"(Fama, 1970)"},"properties":{"noteIndex":0},"schema":"https://github.com/citation-style-language/schema/raw/master/csl-citation.json"}</w:instrText>
      </w:r>
      <w:r w:rsidRPr="00F10029">
        <w:rPr>
          <w:rFonts w:ascii="Times New Roman" w:hAnsi="Times New Roman" w:cs="Times New Roman"/>
          <w:bCs/>
          <w:color w:val="000000" w:themeColor="text1"/>
          <w:sz w:val="24"/>
          <w:szCs w:val="24"/>
        </w:rPr>
        <w:fldChar w:fldCharType="separate"/>
      </w:r>
      <w:r w:rsidRPr="00F10029">
        <w:rPr>
          <w:rFonts w:ascii="Times New Roman" w:hAnsi="Times New Roman" w:cs="Times New Roman"/>
          <w:bCs/>
          <w:noProof/>
          <w:color w:val="000000" w:themeColor="text1"/>
          <w:sz w:val="24"/>
          <w:szCs w:val="24"/>
        </w:rPr>
        <w:t>(</w:t>
      </w:r>
      <w:hyperlink w:anchor="Fama1970" w:history="1">
        <w:r w:rsidRPr="00F10029">
          <w:rPr>
            <w:rStyle w:val="Hyperlink"/>
            <w:rFonts w:ascii="Times New Roman" w:hAnsi="Times New Roman" w:cs="Times New Roman"/>
            <w:bCs/>
            <w:noProof/>
            <w:sz w:val="24"/>
            <w:szCs w:val="24"/>
            <w:u w:val="none"/>
          </w:rPr>
          <w:t>Fama, 1970</w:t>
        </w:r>
      </w:hyperlink>
      <w:r w:rsidRPr="00F10029">
        <w:rPr>
          <w:rFonts w:ascii="Times New Roman" w:hAnsi="Times New Roman" w:cs="Times New Roman"/>
          <w:bCs/>
          <w:noProof/>
          <w:color w:val="000000" w:themeColor="text1"/>
          <w:sz w:val="24"/>
          <w:szCs w:val="24"/>
        </w:rPr>
        <w:t>)</w:t>
      </w:r>
      <w:r w:rsidRPr="00F10029">
        <w:rPr>
          <w:rFonts w:ascii="Times New Roman" w:hAnsi="Times New Roman" w:cs="Times New Roman"/>
          <w:bCs/>
          <w:color w:val="000000" w:themeColor="text1"/>
          <w:sz w:val="24"/>
          <w:szCs w:val="24"/>
        </w:rPr>
        <w:fldChar w:fldCharType="end"/>
      </w:r>
      <w:r w:rsidRPr="00F10029">
        <w:rPr>
          <w:rFonts w:ascii="Times New Roman" w:hAnsi="Times New Roman" w:cs="Times New Roman"/>
          <w:bCs/>
          <w:color w:val="000000" w:themeColor="text1"/>
          <w:sz w:val="24"/>
          <w:szCs w:val="24"/>
        </w:rPr>
        <w:t xml:space="preserve"> </w:t>
      </w:r>
      <w:r w:rsidRPr="00F10029">
        <w:rPr>
          <w:rFonts w:ascii="Times New Roman" w:hAnsi="Times New Roman" w:cs="Times New Roman"/>
          <w:bCs/>
          <w:color w:val="000000" w:themeColor="text1"/>
          <w:sz w:val="24"/>
          <w:szCs w:val="24"/>
        </w:rPr>
        <w:fldChar w:fldCharType="begin" w:fldLock="1"/>
      </w:r>
      <w:r w:rsidRPr="00F10029">
        <w:rPr>
          <w:rFonts w:ascii="Times New Roman" w:hAnsi="Times New Roman" w:cs="Times New Roman"/>
          <w:bCs/>
          <w:color w:val="000000" w:themeColor="text1"/>
          <w:sz w:val="24"/>
          <w:szCs w:val="24"/>
        </w:rPr>
        <w:instrText>ADDIN CSL_CITATION {"citationItems":[{"id":"ITEM-1","itemData":{"DOI":"10.1016/0304-405X(85)90042-X","ISSN":"0304405X","abstract":"This paper examines properties of daily stock returns and how the particular characteristics of these data affect event study methodologies. Daily data generally present few difficulties for event studies. Standard procedures are typically well-specified even when special daily data characteristics are ignored. However, recognition of autocorrelation in daily excess returns and changes in their variance conditional on an event can sometimes be advantageous. In addition, tests ignoring cross-sectional dependence can be well-specified and have higher power than tests which account for potential dependence. © 1985.","author":[{"dropping-particle":"","family":"Brown","given":"Stephen J.","non-dropping-particle":"","parse-names":false,"suffix":""},{"dropping-particle":"","family":"Warner","given":"Jerold B.","non-dropping-particle":"","parse-names":false,"suffix":""}],"container-title":"Journal of Financial Economics","id":"ITEM-1","issued":{"date-parts":[["1985"]]},"page":"3-31","title":"Using daily stock returns: The case of event studies","type":"article-journal","volume":"14"},"uris":["http://www.mendeley.com/documents/?uuid=6a1ae93e-8850-4e2a-8a01-edd4bdbdc747","http://www.mendeley.com/documents/?uuid=c9874d32-5e0f-45d7-9ab9-35bf0ba4ae76"]}],"mendeley":{"formattedCitation":"(Brown &amp; Warner, 1985)","plainTextFormattedCitation":"(Brown &amp; Warner, 1985)","previouslyFormattedCitation":"(Brown &amp; Warner, 1985)"},"properties":{"noteIndex":0},"schema":"https://github.com/citation-style-language/schema/raw/master/csl-citation.json"}</w:instrText>
      </w:r>
      <w:r w:rsidRPr="00F10029">
        <w:rPr>
          <w:rFonts w:ascii="Times New Roman" w:hAnsi="Times New Roman" w:cs="Times New Roman"/>
          <w:bCs/>
          <w:color w:val="000000" w:themeColor="text1"/>
          <w:sz w:val="24"/>
          <w:szCs w:val="24"/>
        </w:rPr>
        <w:fldChar w:fldCharType="separate"/>
      </w:r>
      <w:r w:rsidRPr="00F10029">
        <w:rPr>
          <w:rFonts w:ascii="Times New Roman" w:hAnsi="Times New Roman" w:cs="Times New Roman"/>
          <w:bCs/>
          <w:noProof/>
          <w:color w:val="000000" w:themeColor="text1"/>
          <w:sz w:val="24"/>
          <w:szCs w:val="24"/>
        </w:rPr>
        <w:t>(</w:t>
      </w:r>
      <w:hyperlink w:anchor="Brown1985" w:history="1">
        <w:r w:rsidRPr="00F10029">
          <w:rPr>
            <w:rStyle w:val="Hyperlink"/>
            <w:rFonts w:ascii="Times New Roman" w:hAnsi="Times New Roman" w:cs="Times New Roman"/>
            <w:bCs/>
            <w:noProof/>
            <w:sz w:val="24"/>
            <w:szCs w:val="24"/>
            <w:u w:val="none"/>
          </w:rPr>
          <w:t>Brown &amp; Warner, 1985</w:t>
        </w:r>
      </w:hyperlink>
      <w:r w:rsidRPr="00F10029">
        <w:rPr>
          <w:rFonts w:ascii="Times New Roman" w:hAnsi="Times New Roman" w:cs="Times New Roman"/>
          <w:bCs/>
          <w:noProof/>
          <w:color w:val="000000" w:themeColor="text1"/>
          <w:sz w:val="24"/>
          <w:szCs w:val="24"/>
        </w:rPr>
        <w:t>)</w:t>
      </w:r>
      <w:r w:rsidRPr="00F10029">
        <w:rPr>
          <w:rFonts w:ascii="Times New Roman" w:hAnsi="Times New Roman" w:cs="Times New Roman"/>
          <w:bCs/>
          <w:color w:val="000000" w:themeColor="text1"/>
          <w:sz w:val="24"/>
          <w:szCs w:val="24"/>
        </w:rPr>
        <w:fldChar w:fldCharType="end"/>
      </w:r>
      <w:r w:rsidRPr="00F10029">
        <w:rPr>
          <w:rFonts w:ascii="Times New Roman" w:hAnsi="Times New Roman" w:cs="Times New Roman"/>
          <w:bCs/>
          <w:color w:val="000000" w:themeColor="text1"/>
          <w:sz w:val="24"/>
          <w:szCs w:val="24"/>
        </w:rPr>
        <w:t>. The investor will get an excess return if the abnormal return is positive. Below is the result of the daily Average Abnormal Return (AAR) of all sub-sectors during the event period:</w:t>
      </w:r>
    </w:p>
    <w:p w14:paraId="02735A9A" w14:textId="77777777" w:rsidR="00C07DC6" w:rsidRPr="00F10029" w:rsidRDefault="00C07DC6" w:rsidP="00C07DC6">
      <w:pPr>
        <w:spacing w:after="0" w:line="240" w:lineRule="auto"/>
        <w:ind w:right="-138"/>
        <w:jc w:val="both"/>
        <w:rPr>
          <w:rFonts w:ascii="Times New Roman" w:hAnsi="Times New Roman" w:cs="Times New Roman"/>
          <w:bCs/>
          <w:color w:val="000000" w:themeColor="text1"/>
          <w:sz w:val="24"/>
          <w:szCs w:val="24"/>
        </w:rPr>
      </w:pPr>
    </w:p>
    <w:p w14:paraId="19106EEE" w14:textId="77715A87" w:rsidR="00E93FB4" w:rsidRPr="00F10029" w:rsidRDefault="00E93FB4" w:rsidP="00C07DC6">
      <w:pPr>
        <w:spacing w:after="0" w:line="240" w:lineRule="auto"/>
        <w:jc w:val="center"/>
        <w:rPr>
          <w:rFonts w:ascii="Times New Roman" w:hAnsi="Times New Roman" w:cs="Times New Roman"/>
          <w:bCs/>
          <w:color w:val="000000" w:themeColor="text1"/>
          <w:lang w:val="id-ID"/>
        </w:rPr>
      </w:pPr>
      <w:r w:rsidRPr="00F10029">
        <w:rPr>
          <w:rFonts w:ascii="Times New Roman" w:hAnsi="Times New Roman" w:cs="Times New Roman"/>
          <w:bCs/>
          <w:color w:val="000000" w:themeColor="text1"/>
        </w:rPr>
        <w:t xml:space="preserve">Table </w:t>
      </w:r>
      <w:r w:rsidRPr="00F10029">
        <w:rPr>
          <w:rFonts w:ascii="Times New Roman" w:hAnsi="Times New Roman" w:cs="Times New Roman"/>
          <w:bCs/>
          <w:color w:val="000000" w:themeColor="text1"/>
          <w:lang w:val="id-ID"/>
        </w:rPr>
        <w:t>2</w:t>
      </w:r>
      <w:r w:rsidR="00C07DC6" w:rsidRPr="00F10029">
        <w:rPr>
          <w:rFonts w:ascii="Times New Roman" w:hAnsi="Times New Roman" w:cs="Times New Roman"/>
          <w:bCs/>
          <w:color w:val="000000" w:themeColor="text1"/>
          <w:lang w:val="id-ID"/>
        </w:rPr>
        <w:t xml:space="preserve">. </w:t>
      </w:r>
      <w:r w:rsidRPr="00F10029">
        <w:rPr>
          <w:rFonts w:ascii="Times New Roman" w:hAnsi="Times New Roman" w:cs="Times New Roman"/>
          <w:bCs/>
        </w:rPr>
        <w:t>Results of the Paired-Sample t-test of Average Abnormal Return</w:t>
      </w:r>
    </w:p>
    <w:tbl>
      <w:tblPr>
        <w:tblStyle w:val="TableGrid"/>
        <w:tblW w:w="8930" w:type="dxa"/>
        <w:jc w:val="right"/>
        <w:tblLook w:val="04A0" w:firstRow="1" w:lastRow="0" w:firstColumn="1" w:lastColumn="0" w:noHBand="0" w:noVBand="1"/>
      </w:tblPr>
      <w:tblGrid>
        <w:gridCol w:w="2350"/>
        <w:gridCol w:w="2187"/>
        <w:gridCol w:w="2406"/>
        <w:gridCol w:w="1987"/>
      </w:tblGrid>
      <w:tr w:rsidR="00E93FB4" w:rsidRPr="00F10029" w14:paraId="4BA5FCEF" w14:textId="77777777" w:rsidTr="00963814">
        <w:trPr>
          <w:jc w:val="right"/>
        </w:trPr>
        <w:tc>
          <w:tcPr>
            <w:tcW w:w="2350" w:type="dxa"/>
            <w:tcBorders>
              <w:left w:val="nil"/>
              <w:bottom w:val="single" w:sz="4" w:space="0" w:color="auto"/>
              <w:right w:val="nil"/>
            </w:tcBorders>
          </w:tcPr>
          <w:p w14:paraId="267C6612" w14:textId="77777777" w:rsidR="00E93FB4" w:rsidRPr="00F10029" w:rsidRDefault="00E93FB4" w:rsidP="00E93FB4">
            <w:pPr>
              <w:rPr>
                <w:rFonts w:cs="Times New Roman"/>
                <w:b/>
                <w:sz w:val="22"/>
              </w:rPr>
            </w:pPr>
            <w:r w:rsidRPr="00F10029">
              <w:rPr>
                <w:rFonts w:cs="Times New Roman"/>
                <w:b/>
                <w:sz w:val="22"/>
              </w:rPr>
              <w:t>Sub-Sector</w:t>
            </w:r>
          </w:p>
        </w:tc>
        <w:tc>
          <w:tcPr>
            <w:tcW w:w="2187" w:type="dxa"/>
            <w:tcBorders>
              <w:left w:val="nil"/>
              <w:bottom w:val="single" w:sz="4" w:space="0" w:color="auto"/>
              <w:right w:val="nil"/>
            </w:tcBorders>
          </w:tcPr>
          <w:p w14:paraId="0D649091" w14:textId="77777777" w:rsidR="00E93FB4" w:rsidRPr="00F10029" w:rsidRDefault="00E93FB4" w:rsidP="00E93FB4">
            <w:pPr>
              <w:ind w:left="360"/>
              <w:rPr>
                <w:rFonts w:cs="Times New Roman"/>
                <w:b/>
                <w:sz w:val="22"/>
              </w:rPr>
            </w:pPr>
            <w:r w:rsidRPr="00F10029">
              <w:rPr>
                <w:rFonts w:cs="Times New Roman"/>
                <w:b/>
                <w:sz w:val="22"/>
              </w:rPr>
              <w:t>t-value</w:t>
            </w:r>
          </w:p>
        </w:tc>
        <w:tc>
          <w:tcPr>
            <w:tcW w:w="2406" w:type="dxa"/>
            <w:tcBorders>
              <w:left w:val="nil"/>
              <w:bottom w:val="single" w:sz="4" w:space="0" w:color="auto"/>
              <w:right w:val="nil"/>
            </w:tcBorders>
          </w:tcPr>
          <w:p w14:paraId="660ABDDA" w14:textId="77777777" w:rsidR="00E93FB4" w:rsidRPr="00F10029" w:rsidRDefault="00E93FB4" w:rsidP="00E93FB4">
            <w:pPr>
              <w:ind w:left="360"/>
              <w:rPr>
                <w:rFonts w:cs="Times New Roman"/>
                <w:b/>
                <w:sz w:val="22"/>
              </w:rPr>
            </w:pPr>
            <w:r w:rsidRPr="00F10029">
              <w:rPr>
                <w:rFonts w:cs="Times New Roman"/>
                <w:b/>
                <w:sz w:val="22"/>
              </w:rPr>
              <w:t>Probability-t</w:t>
            </w:r>
          </w:p>
        </w:tc>
        <w:tc>
          <w:tcPr>
            <w:tcW w:w="1987" w:type="dxa"/>
            <w:tcBorders>
              <w:left w:val="nil"/>
              <w:bottom w:val="single" w:sz="4" w:space="0" w:color="auto"/>
              <w:right w:val="nil"/>
            </w:tcBorders>
          </w:tcPr>
          <w:p w14:paraId="4522305B" w14:textId="77777777" w:rsidR="00E93FB4" w:rsidRPr="00F10029" w:rsidRDefault="00E93FB4" w:rsidP="00E93FB4">
            <w:pPr>
              <w:rPr>
                <w:rFonts w:cs="Times New Roman"/>
                <w:b/>
                <w:sz w:val="22"/>
              </w:rPr>
            </w:pPr>
            <w:r w:rsidRPr="00F10029">
              <w:rPr>
                <w:rFonts w:cs="Times New Roman"/>
                <w:b/>
                <w:sz w:val="22"/>
              </w:rPr>
              <w:t>Hypothesis Result</w:t>
            </w:r>
          </w:p>
        </w:tc>
      </w:tr>
      <w:tr w:rsidR="00E93FB4" w:rsidRPr="00F10029" w14:paraId="2FC11BEA" w14:textId="77777777" w:rsidTr="00963814">
        <w:trPr>
          <w:jc w:val="right"/>
        </w:trPr>
        <w:tc>
          <w:tcPr>
            <w:tcW w:w="2350" w:type="dxa"/>
            <w:tcBorders>
              <w:left w:val="nil"/>
              <w:bottom w:val="nil"/>
              <w:right w:val="nil"/>
            </w:tcBorders>
          </w:tcPr>
          <w:p w14:paraId="39E5298D" w14:textId="77777777" w:rsidR="00E93FB4" w:rsidRPr="00F10029" w:rsidRDefault="00E93FB4" w:rsidP="00E93FB4">
            <w:pPr>
              <w:rPr>
                <w:rFonts w:cs="Times New Roman"/>
                <w:bCs/>
                <w:sz w:val="22"/>
              </w:rPr>
            </w:pPr>
            <w:r w:rsidRPr="00F10029">
              <w:rPr>
                <w:rFonts w:cs="Times New Roman"/>
                <w:bCs/>
                <w:sz w:val="22"/>
              </w:rPr>
              <w:t>Pharmaceutical</w:t>
            </w:r>
          </w:p>
        </w:tc>
        <w:tc>
          <w:tcPr>
            <w:tcW w:w="2187" w:type="dxa"/>
            <w:tcBorders>
              <w:left w:val="nil"/>
              <w:bottom w:val="nil"/>
              <w:right w:val="nil"/>
            </w:tcBorders>
          </w:tcPr>
          <w:p w14:paraId="2777E010" w14:textId="77777777" w:rsidR="00E93FB4" w:rsidRPr="00F10029" w:rsidRDefault="00E93FB4" w:rsidP="00E93FB4">
            <w:pPr>
              <w:ind w:left="360"/>
              <w:rPr>
                <w:rFonts w:cs="Times New Roman"/>
                <w:bCs/>
                <w:sz w:val="22"/>
              </w:rPr>
            </w:pPr>
            <w:r w:rsidRPr="00F10029">
              <w:rPr>
                <w:rFonts w:cs="Times New Roman"/>
                <w:sz w:val="22"/>
              </w:rPr>
              <w:t>0.8462</w:t>
            </w:r>
          </w:p>
        </w:tc>
        <w:tc>
          <w:tcPr>
            <w:tcW w:w="2406" w:type="dxa"/>
            <w:tcBorders>
              <w:left w:val="nil"/>
              <w:bottom w:val="nil"/>
              <w:right w:val="nil"/>
            </w:tcBorders>
          </w:tcPr>
          <w:p w14:paraId="3CDB977C" w14:textId="77777777" w:rsidR="00E93FB4" w:rsidRPr="00F10029" w:rsidRDefault="00E93FB4" w:rsidP="00E93FB4">
            <w:pPr>
              <w:ind w:left="360"/>
              <w:rPr>
                <w:rFonts w:cs="Times New Roman"/>
                <w:bCs/>
                <w:sz w:val="22"/>
              </w:rPr>
            </w:pPr>
            <w:r w:rsidRPr="00F10029">
              <w:rPr>
                <w:rFonts w:cs="Times New Roman"/>
                <w:sz w:val="22"/>
              </w:rPr>
              <w:t>0.2097</w:t>
            </w:r>
          </w:p>
        </w:tc>
        <w:tc>
          <w:tcPr>
            <w:tcW w:w="1987" w:type="dxa"/>
            <w:tcBorders>
              <w:left w:val="nil"/>
              <w:bottom w:val="nil"/>
              <w:right w:val="nil"/>
            </w:tcBorders>
          </w:tcPr>
          <w:p w14:paraId="4F4F4970" w14:textId="77777777" w:rsidR="00E93FB4" w:rsidRPr="00F10029" w:rsidRDefault="00E93FB4" w:rsidP="00E93FB4">
            <w:pPr>
              <w:rPr>
                <w:rFonts w:cs="Times New Roman"/>
                <w:bCs/>
                <w:sz w:val="22"/>
              </w:rPr>
            </w:pPr>
            <w:r w:rsidRPr="00F10029">
              <w:rPr>
                <w:rFonts w:cs="Times New Roman"/>
                <w:bCs/>
                <w:sz w:val="22"/>
              </w:rPr>
              <w:t>H1 Rejected</w:t>
            </w:r>
          </w:p>
        </w:tc>
      </w:tr>
      <w:tr w:rsidR="00E93FB4" w:rsidRPr="00F10029" w14:paraId="3B0C2E7D" w14:textId="77777777" w:rsidTr="00963814">
        <w:trPr>
          <w:jc w:val="right"/>
        </w:trPr>
        <w:tc>
          <w:tcPr>
            <w:tcW w:w="2350" w:type="dxa"/>
            <w:tcBorders>
              <w:top w:val="nil"/>
              <w:left w:val="nil"/>
              <w:bottom w:val="nil"/>
              <w:right w:val="nil"/>
            </w:tcBorders>
          </w:tcPr>
          <w:p w14:paraId="1E58ABC3" w14:textId="77777777" w:rsidR="00E93FB4" w:rsidRPr="00F10029" w:rsidRDefault="00E93FB4" w:rsidP="00E93FB4">
            <w:pPr>
              <w:rPr>
                <w:rFonts w:cs="Times New Roman"/>
                <w:bCs/>
                <w:sz w:val="22"/>
              </w:rPr>
            </w:pPr>
            <w:r w:rsidRPr="00F10029">
              <w:rPr>
                <w:rFonts w:cs="Times New Roman"/>
                <w:color w:val="000000" w:themeColor="text1"/>
                <w:sz w:val="22"/>
              </w:rPr>
              <w:t>food and beverages</w:t>
            </w:r>
          </w:p>
        </w:tc>
        <w:tc>
          <w:tcPr>
            <w:tcW w:w="2187" w:type="dxa"/>
            <w:tcBorders>
              <w:top w:val="nil"/>
              <w:left w:val="nil"/>
              <w:bottom w:val="nil"/>
              <w:right w:val="nil"/>
            </w:tcBorders>
          </w:tcPr>
          <w:p w14:paraId="4AC223D1" w14:textId="77777777" w:rsidR="00E93FB4" w:rsidRPr="00F10029" w:rsidRDefault="00E93FB4" w:rsidP="00E93FB4">
            <w:pPr>
              <w:ind w:left="360"/>
              <w:rPr>
                <w:rFonts w:cs="Times New Roman"/>
                <w:bCs/>
                <w:sz w:val="22"/>
              </w:rPr>
            </w:pPr>
            <w:r w:rsidRPr="00F10029">
              <w:rPr>
                <w:rFonts w:cs="Times New Roman"/>
                <w:sz w:val="22"/>
              </w:rPr>
              <w:t>0.8390</w:t>
            </w:r>
          </w:p>
        </w:tc>
        <w:tc>
          <w:tcPr>
            <w:tcW w:w="2406" w:type="dxa"/>
            <w:tcBorders>
              <w:top w:val="nil"/>
              <w:left w:val="nil"/>
              <w:bottom w:val="nil"/>
              <w:right w:val="nil"/>
            </w:tcBorders>
          </w:tcPr>
          <w:p w14:paraId="14E4E9D0" w14:textId="77777777" w:rsidR="00E93FB4" w:rsidRPr="00F10029" w:rsidRDefault="00E93FB4" w:rsidP="00E93FB4">
            <w:pPr>
              <w:ind w:left="360"/>
              <w:rPr>
                <w:rFonts w:cs="Times New Roman"/>
                <w:bCs/>
                <w:sz w:val="22"/>
              </w:rPr>
            </w:pPr>
            <w:r w:rsidRPr="00F10029">
              <w:rPr>
                <w:rFonts w:cs="Times New Roman"/>
                <w:sz w:val="22"/>
              </w:rPr>
              <w:t>0.2116</w:t>
            </w:r>
          </w:p>
        </w:tc>
        <w:tc>
          <w:tcPr>
            <w:tcW w:w="1987" w:type="dxa"/>
            <w:tcBorders>
              <w:top w:val="nil"/>
              <w:left w:val="nil"/>
              <w:bottom w:val="nil"/>
              <w:right w:val="nil"/>
            </w:tcBorders>
          </w:tcPr>
          <w:p w14:paraId="2CEA7EB8" w14:textId="77777777" w:rsidR="00E93FB4" w:rsidRPr="00F10029" w:rsidRDefault="00E93FB4" w:rsidP="00E93FB4">
            <w:pPr>
              <w:rPr>
                <w:rFonts w:cs="Times New Roman"/>
                <w:bCs/>
                <w:sz w:val="22"/>
              </w:rPr>
            </w:pPr>
            <w:r w:rsidRPr="00F10029">
              <w:rPr>
                <w:rFonts w:cs="Times New Roman"/>
                <w:bCs/>
                <w:sz w:val="22"/>
              </w:rPr>
              <w:t>H1 Rejected</w:t>
            </w:r>
          </w:p>
        </w:tc>
      </w:tr>
      <w:tr w:rsidR="00E93FB4" w:rsidRPr="00F10029" w14:paraId="0872C242" w14:textId="77777777" w:rsidTr="00963814">
        <w:trPr>
          <w:jc w:val="right"/>
        </w:trPr>
        <w:tc>
          <w:tcPr>
            <w:tcW w:w="2350" w:type="dxa"/>
            <w:tcBorders>
              <w:top w:val="nil"/>
              <w:left w:val="nil"/>
              <w:bottom w:val="nil"/>
              <w:right w:val="nil"/>
            </w:tcBorders>
          </w:tcPr>
          <w:p w14:paraId="5D603C7D" w14:textId="77777777" w:rsidR="00E93FB4" w:rsidRPr="00F10029" w:rsidRDefault="00E93FB4" w:rsidP="00E93FB4">
            <w:pPr>
              <w:rPr>
                <w:rFonts w:cs="Times New Roman"/>
                <w:bCs/>
                <w:sz w:val="22"/>
              </w:rPr>
            </w:pPr>
            <w:r w:rsidRPr="00F10029">
              <w:rPr>
                <w:rFonts w:cs="Times New Roman"/>
                <w:bCs/>
                <w:color w:val="000000" w:themeColor="text1"/>
                <w:sz w:val="22"/>
              </w:rPr>
              <w:t>Telecommunications</w:t>
            </w:r>
          </w:p>
        </w:tc>
        <w:tc>
          <w:tcPr>
            <w:tcW w:w="2187" w:type="dxa"/>
            <w:tcBorders>
              <w:top w:val="nil"/>
              <w:left w:val="nil"/>
              <w:bottom w:val="nil"/>
              <w:right w:val="nil"/>
            </w:tcBorders>
          </w:tcPr>
          <w:p w14:paraId="4FFD6166" w14:textId="77777777" w:rsidR="00E93FB4" w:rsidRPr="00F10029" w:rsidRDefault="00E93FB4" w:rsidP="00E93FB4">
            <w:pPr>
              <w:ind w:left="360"/>
              <w:rPr>
                <w:rFonts w:cs="Times New Roman"/>
                <w:bCs/>
                <w:sz w:val="22"/>
              </w:rPr>
            </w:pPr>
            <w:r w:rsidRPr="00F10029">
              <w:rPr>
                <w:rFonts w:cs="Times New Roman"/>
                <w:sz w:val="22"/>
              </w:rPr>
              <w:t>-2.087</w:t>
            </w:r>
          </w:p>
        </w:tc>
        <w:tc>
          <w:tcPr>
            <w:tcW w:w="2406" w:type="dxa"/>
            <w:tcBorders>
              <w:top w:val="nil"/>
              <w:left w:val="nil"/>
              <w:bottom w:val="nil"/>
              <w:right w:val="nil"/>
            </w:tcBorders>
          </w:tcPr>
          <w:p w14:paraId="468E65AA" w14:textId="77777777" w:rsidR="00E93FB4" w:rsidRPr="00F10029" w:rsidRDefault="00E93FB4" w:rsidP="00E93FB4">
            <w:pPr>
              <w:ind w:left="360"/>
              <w:rPr>
                <w:rFonts w:cs="Times New Roman"/>
                <w:bCs/>
                <w:sz w:val="22"/>
              </w:rPr>
            </w:pPr>
            <w:r w:rsidRPr="00F10029">
              <w:rPr>
                <w:rFonts w:cs="Times New Roman"/>
                <w:sz w:val="22"/>
              </w:rPr>
              <w:t>0.0332</w:t>
            </w:r>
          </w:p>
        </w:tc>
        <w:tc>
          <w:tcPr>
            <w:tcW w:w="1987" w:type="dxa"/>
            <w:tcBorders>
              <w:top w:val="nil"/>
              <w:left w:val="nil"/>
              <w:bottom w:val="nil"/>
              <w:right w:val="nil"/>
            </w:tcBorders>
          </w:tcPr>
          <w:p w14:paraId="5FDEFBE7" w14:textId="77777777" w:rsidR="00E93FB4" w:rsidRPr="00F10029" w:rsidRDefault="00E93FB4" w:rsidP="00E93FB4">
            <w:pPr>
              <w:rPr>
                <w:rFonts w:cs="Times New Roman"/>
                <w:bCs/>
                <w:sz w:val="22"/>
              </w:rPr>
            </w:pPr>
            <w:r w:rsidRPr="00F10029">
              <w:rPr>
                <w:rFonts w:cs="Times New Roman"/>
                <w:bCs/>
                <w:sz w:val="22"/>
              </w:rPr>
              <w:t>H1 Accepted</w:t>
            </w:r>
          </w:p>
        </w:tc>
      </w:tr>
      <w:tr w:rsidR="00E93FB4" w:rsidRPr="00F10029" w14:paraId="466CB945" w14:textId="77777777" w:rsidTr="00963814">
        <w:trPr>
          <w:jc w:val="right"/>
        </w:trPr>
        <w:tc>
          <w:tcPr>
            <w:tcW w:w="2350" w:type="dxa"/>
            <w:tcBorders>
              <w:top w:val="nil"/>
              <w:left w:val="nil"/>
              <w:right w:val="nil"/>
            </w:tcBorders>
          </w:tcPr>
          <w:p w14:paraId="359322B0" w14:textId="77777777" w:rsidR="00E93FB4" w:rsidRPr="00F10029" w:rsidRDefault="00E93FB4" w:rsidP="00E93FB4">
            <w:pPr>
              <w:rPr>
                <w:rFonts w:cs="Times New Roman"/>
                <w:bCs/>
                <w:sz w:val="22"/>
              </w:rPr>
            </w:pPr>
            <w:r w:rsidRPr="00F10029">
              <w:rPr>
                <w:rFonts w:cs="Times New Roman"/>
                <w:bCs/>
                <w:color w:val="000000" w:themeColor="text1"/>
                <w:sz w:val="22"/>
              </w:rPr>
              <w:t>Transportation</w:t>
            </w:r>
          </w:p>
        </w:tc>
        <w:tc>
          <w:tcPr>
            <w:tcW w:w="2187" w:type="dxa"/>
            <w:tcBorders>
              <w:top w:val="nil"/>
              <w:left w:val="nil"/>
              <w:right w:val="nil"/>
            </w:tcBorders>
          </w:tcPr>
          <w:p w14:paraId="68A68311" w14:textId="77777777" w:rsidR="00E93FB4" w:rsidRPr="00F10029" w:rsidRDefault="00E93FB4" w:rsidP="00E93FB4">
            <w:pPr>
              <w:ind w:left="360"/>
              <w:rPr>
                <w:rFonts w:cs="Times New Roman"/>
                <w:bCs/>
                <w:sz w:val="22"/>
              </w:rPr>
            </w:pPr>
            <w:r w:rsidRPr="00F10029">
              <w:rPr>
                <w:rFonts w:cs="Times New Roman"/>
                <w:sz w:val="22"/>
              </w:rPr>
              <w:t>-0.3675</w:t>
            </w:r>
          </w:p>
        </w:tc>
        <w:tc>
          <w:tcPr>
            <w:tcW w:w="2406" w:type="dxa"/>
            <w:tcBorders>
              <w:top w:val="nil"/>
              <w:left w:val="nil"/>
              <w:right w:val="nil"/>
            </w:tcBorders>
          </w:tcPr>
          <w:p w14:paraId="56FF07CE" w14:textId="77777777" w:rsidR="00E93FB4" w:rsidRPr="00F10029" w:rsidRDefault="00E93FB4" w:rsidP="00E93FB4">
            <w:pPr>
              <w:ind w:left="360"/>
              <w:rPr>
                <w:rFonts w:cs="Times New Roman"/>
                <w:bCs/>
                <w:sz w:val="22"/>
              </w:rPr>
            </w:pPr>
            <w:r w:rsidRPr="00F10029">
              <w:rPr>
                <w:rFonts w:cs="Times New Roman"/>
                <w:sz w:val="22"/>
              </w:rPr>
              <w:t>0.3609</w:t>
            </w:r>
          </w:p>
        </w:tc>
        <w:tc>
          <w:tcPr>
            <w:tcW w:w="1987" w:type="dxa"/>
            <w:tcBorders>
              <w:top w:val="nil"/>
              <w:left w:val="nil"/>
              <w:right w:val="nil"/>
            </w:tcBorders>
          </w:tcPr>
          <w:p w14:paraId="10DB4181" w14:textId="77777777" w:rsidR="00E93FB4" w:rsidRPr="00F10029" w:rsidRDefault="00E93FB4" w:rsidP="00E93FB4">
            <w:pPr>
              <w:rPr>
                <w:rFonts w:cs="Times New Roman"/>
                <w:bCs/>
                <w:sz w:val="22"/>
              </w:rPr>
            </w:pPr>
            <w:r w:rsidRPr="00F10029">
              <w:rPr>
                <w:rFonts w:cs="Times New Roman"/>
                <w:bCs/>
                <w:sz w:val="22"/>
              </w:rPr>
              <w:t>H1 Rejected</w:t>
            </w:r>
          </w:p>
        </w:tc>
      </w:tr>
    </w:tbl>
    <w:p w14:paraId="540C69E0" w14:textId="77777777" w:rsidR="00E93FB4" w:rsidRPr="00F10029" w:rsidRDefault="00E93FB4" w:rsidP="00C07DC6">
      <w:pPr>
        <w:spacing w:after="0" w:line="240" w:lineRule="auto"/>
        <w:jc w:val="both"/>
        <w:rPr>
          <w:rFonts w:ascii="Times New Roman" w:hAnsi="Times New Roman" w:cs="Times New Roman"/>
        </w:rPr>
      </w:pPr>
      <w:r w:rsidRPr="00F10029">
        <w:rPr>
          <w:rFonts w:ascii="Times New Roman" w:hAnsi="Times New Roman" w:cs="Times New Roman"/>
          <w:color w:val="000000" w:themeColor="text1"/>
        </w:rPr>
        <w:t>Source: Statistical Results (processed)</w:t>
      </w:r>
    </w:p>
    <w:p w14:paraId="7B46A018" w14:textId="77777777" w:rsidR="00E93FB4" w:rsidRPr="00F10029" w:rsidRDefault="00E93FB4" w:rsidP="00E93FB4">
      <w:pPr>
        <w:spacing w:after="0" w:line="240" w:lineRule="auto"/>
        <w:ind w:left="900" w:firstLine="720"/>
        <w:jc w:val="both"/>
        <w:rPr>
          <w:rFonts w:ascii="Times New Roman" w:hAnsi="Times New Roman" w:cs="Times New Roman"/>
        </w:rPr>
      </w:pPr>
    </w:p>
    <w:p w14:paraId="6191B15B" w14:textId="77777777" w:rsidR="00461DF4" w:rsidRPr="00F10029" w:rsidRDefault="00E93FB4" w:rsidP="00461DF4">
      <w:pPr>
        <w:spacing w:after="0" w:line="240" w:lineRule="auto"/>
        <w:ind w:firstLine="567"/>
        <w:jc w:val="both"/>
        <w:rPr>
          <w:rFonts w:ascii="Times New Roman" w:hAnsi="Times New Roman" w:cs="Times New Roman"/>
          <w:sz w:val="24"/>
          <w:szCs w:val="24"/>
        </w:rPr>
      </w:pPr>
      <w:r w:rsidRPr="00F10029">
        <w:rPr>
          <w:rFonts w:ascii="Times New Roman" w:hAnsi="Times New Roman" w:cs="Times New Roman"/>
          <w:sz w:val="24"/>
          <w:szCs w:val="24"/>
        </w:rPr>
        <w:t xml:space="preserve">The paired-sample t-test shows pharmaceutical, </w:t>
      </w:r>
      <w:r w:rsidRPr="00F10029">
        <w:rPr>
          <w:rFonts w:ascii="Times New Roman" w:hAnsi="Times New Roman" w:cs="Times New Roman"/>
          <w:color w:val="000000" w:themeColor="text1"/>
          <w:sz w:val="24"/>
          <w:szCs w:val="24"/>
        </w:rPr>
        <w:t>food, beverages</w:t>
      </w:r>
      <w:r w:rsidRPr="00F10029">
        <w:rPr>
          <w:rFonts w:ascii="Times New Roman" w:hAnsi="Times New Roman" w:cs="Times New Roman"/>
          <w:sz w:val="24"/>
          <w:szCs w:val="24"/>
        </w:rPr>
        <w:t>, and transportation sub-sectors revealed that all sub-sectors did not significantly differ in abnormal returns before and after the information in the first case of COVID-19 in Indonesia.  Investors had likely anticipated this before the President of the Republic of Indonesia officially announced it. Investors have taken the proper steps to adjust to the movement of prices in the market. So, the abnormal return obtained by investors is still within reasonable limits. Furthermore, investors can predict the signal of COVID-19 cases in Indonesia because other countries have already announced cases of COVID-19.</w:t>
      </w:r>
      <w:r w:rsidR="00461DF4" w:rsidRPr="00F10029">
        <w:rPr>
          <w:rFonts w:ascii="Times New Roman" w:hAnsi="Times New Roman" w:cs="Times New Roman"/>
          <w:sz w:val="24"/>
          <w:szCs w:val="24"/>
        </w:rPr>
        <w:t xml:space="preserve"> </w:t>
      </w:r>
      <w:r w:rsidRPr="00F10029">
        <w:rPr>
          <w:rFonts w:ascii="Times New Roman" w:hAnsi="Times New Roman" w:cs="Times New Roman"/>
          <w:sz w:val="24"/>
          <w:szCs w:val="24"/>
        </w:rPr>
        <w:t xml:space="preserve">We conduct more specific investigations by conducting a one-sample t-test on abnormal return data daily to see significant changes in abnormal returns each day around the date of the event.  </w:t>
      </w:r>
      <w:r w:rsidR="00065147" w:rsidRPr="00F10029">
        <w:rPr>
          <w:rFonts w:ascii="Times New Roman" w:hAnsi="Times New Roman" w:cs="Times New Roman"/>
          <w:sz w:val="24"/>
          <w:szCs w:val="24"/>
        </w:rPr>
        <w:t>The table 3 below shows the results of all sub-sectors</w:t>
      </w:r>
      <w:r w:rsidR="00065147" w:rsidRPr="00F10029">
        <w:rPr>
          <w:rFonts w:ascii="Times New Roman" w:hAnsi="Times New Roman" w:cs="Times New Roman"/>
          <w:sz w:val="24"/>
          <w:szCs w:val="24"/>
        </w:rPr>
        <w:t>.</w:t>
      </w:r>
    </w:p>
    <w:p w14:paraId="2704CE42" w14:textId="2F36BA31" w:rsidR="00461DF4" w:rsidRPr="00F10029" w:rsidRDefault="00461DF4" w:rsidP="00461DF4">
      <w:pPr>
        <w:spacing w:after="0" w:line="240" w:lineRule="auto"/>
        <w:ind w:firstLine="567"/>
        <w:jc w:val="both"/>
        <w:rPr>
          <w:rFonts w:ascii="Times New Roman" w:hAnsi="Times New Roman" w:cs="Times New Roman"/>
          <w:sz w:val="24"/>
          <w:szCs w:val="24"/>
        </w:rPr>
      </w:pPr>
      <w:r w:rsidRPr="00F10029">
        <w:rPr>
          <w:rFonts w:ascii="Times New Roman" w:hAnsi="Times New Roman" w:cs="Times New Roman"/>
          <w:sz w:val="24"/>
          <w:szCs w:val="24"/>
        </w:rPr>
        <w:t xml:space="preserve">The one-sample t-test </w:t>
      </w:r>
      <w:r w:rsidRPr="00F10029">
        <w:rPr>
          <w:rFonts w:ascii="Times New Roman" w:hAnsi="Times New Roman" w:cs="Times New Roman"/>
          <w:sz w:val="24"/>
          <w:szCs w:val="24"/>
          <w:lang w:val="id-ID"/>
        </w:rPr>
        <w:t xml:space="preserve">using the </w:t>
      </w:r>
      <w:r w:rsidRPr="00F10029">
        <w:rPr>
          <w:rFonts w:ascii="Times New Roman" w:hAnsi="Times New Roman" w:cs="Times New Roman"/>
          <w:sz w:val="24"/>
          <w:szCs w:val="24"/>
        </w:rPr>
        <w:t>pharmaceutical sub-sectors daily period found a negative abnormal return at t-2 and t-1 with t values ​​of -2.96 and -3.01. Before the official announcement, this sub-sector had negative AR. However, after the information, there were significant positive changes in abnormal returns in t+1, t+2, and t+3. The market reacted immediately after the announcement, and investors predicted this sub-sector had an increase in the company's performance. Pandemics will increase the demand for medicines and medical devices. Surprisingly, at t+4, t+5, t+7, and t+10, there was significantly negative AR. At that time, there is a possibility of a decrease in investor confidence in this sub-sector.</w:t>
      </w:r>
    </w:p>
    <w:p w14:paraId="4741E47E" w14:textId="21886442" w:rsidR="00E93FB4" w:rsidRPr="00F10029" w:rsidRDefault="00E93FB4" w:rsidP="00C07DC6">
      <w:pPr>
        <w:spacing w:after="0" w:line="240" w:lineRule="auto"/>
        <w:jc w:val="center"/>
        <w:rPr>
          <w:rFonts w:ascii="Times New Roman" w:hAnsi="Times New Roman" w:cs="Times New Roman"/>
          <w:bCs/>
        </w:rPr>
      </w:pPr>
      <w:r w:rsidRPr="00F10029">
        <w:rPr>
          <w:rFonts w:ascii="Times New Roman" w:hAnsi="Times New Roman" w:cs="Times New Roman"/>
          <w:bCs/>
          <w:color w:val="000000" w:themeColor="text1"/>
        </w:rPr>
        <w:lastRenderedPageBreak/>
        <w:t xml:space="preserve">Table </w:t>
      </w:r>
      <w:r w:rsidRPr="00F10029">
        <w:rPr>
          <w:rFonts w:ascii="Times New Roman" w:hAnsi="Times New Roman" w:cs="Times New Roman"/>
          <w:bCs/>
          <w:color w:val="000000" w:themeColor="text1"/>
          <w:lang w:val="id-ID"/>
        </w:rPr>
        <w:t>3</w:t>
      </w:r>
      <w:r w:rsidR="00C07DC6" w:rsidRPr="00F10029">
        <w:rPr>
          <w:rFonts w:ascii="Times New Roman" w:hAnsi="Times New Roman" w:cs="Times New Roman"/>
          <w:bCs/>
          <w:color w:val="000000" w:themeColor="text1"/>
          <w:lang w:val="id-ID"/>
        </w:rPr>
        <w:t xml:space="preserve">. </w:t>
      </w:r>
      <w:r w:rsidRPr="00F10029">
        <w:rPr>
          <w:rFonts w:ascii="Times New Roman" w:hAnsi="Times New Roman" w:cs="Times New Roman"/>
          <w:bCs/>
        </w:rPr>
        <w:t>Results of the One-Sample t-test of Average Abnormal Return</w:t>
      </w:r>
    </w:p>
    <w:tbl>
      <w:tblPr>
        <w:tblStyle w:val="TableGrid"/>
        <w:tblW w:w="1119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832"/>
        <w:gridCol w:w="840"/>
        <w:gridCol w:w="832"/>
        <w:gridCol w:w="833"/>
        <w:gridCol w:w="934"/>
        <w:gridCol w:w="989"/>
        <w:gridCol w:w="989"/>
        <w:gridCol w:w="939"/>
        <w:gridCol w:w="772"/>
        <w:gridCol w:w="766"/>
        <w:gridCol w:w="866"/>
        <w:gridCol w:w="766"/>
      </w:tblGrid>
      <w:tr w:rsidR="00072552" w:rsidRPr="00F10029" w14:paraId="167D8DCB" w14:textId="77777777" w:rsidTr="00072552">
        <w:tc>
          <w:tcPr>
            <w:tcW w:w="828" w:type="dxa"/>
            <w:vMerge w:val="restart"/>
            <w:tcBorders>
              <w:top w:val="single" w:sz="4" w:space="0" w:color="auto"/>
            </w:tcBorders>
            <w:vAlign w:val="center"/>
          </w:tcPr>
          <w:p w14:paraId="4FBA51C7" w14:textId="76171A05" w:rsidR="00072552" w:rsidRPr="00F10029" w:rsidRDefault="00072552" w:rsidP="00072552">
            <w:pPr>
              <w:jc w:val="center"/>
              <w:rPr>
                <w:rFonts w:cs="Times New Roman"/>
                <w:b/>
                <w:sz w:val="22"/>
              </w:rPr>
            </w:pPr>
            <w:r w:rsidRPr="00F10029">
              <w:rPr>
                <w:rFonts w:cs="Times New Roman"/>
                <w:b/>
                <w:sz w:val="22"/>
              </w:rPr>
              <w:t>Period</w:t>
            </w:r>
          </w:p>
        </w:tc>
        <w:tc>
          <w:tcPr>
            <w:tcW w:w="2506" w:type="dxa"/>
            <w:gridSpan w:val="3"/>
            <w:tcBorders>
              <w:top w:val="single" w:sz="4" w:space="0" w:color="auto"/>
              <w:bottom w:val="single" w:sz="4" w:space="0" w:color="auto"/>
            </w:tcBorders>
          </w:tcPr>
          <w:p w14:paraId="11BC9240" w14:textId="2F9A1894" w:rsidR="00072552" w:rsidRPr="00F10029" w:rsidRDefault="00072552" w:rsidP="00072552">
            <w:pPr>
              <w:jc w:val="center"/>
              <w:rPr>
                <w:rFonts w:cs="Times New Roman"/>
                <w:b/>
                <w:sz w:val="22"/>
              </w:rPr>
            </w:pPr>
            <w:r w:rsidRPr="00F10029">
              <w:rPr>
                <w:b/>
                <w:color w:val="000000" w:themeColor="text1"/>
                <w:sz w:val="22"/>
              </w:rPr>
              <w:t>Pharmaceutical</w:t>
            </w:r>
          </w:p>
        </w:tc>
        <w:tc>
          <w:tcPr>
            <w:tcW w:w="2762" w:type="dxa"/>
            <w:gridSpan w:val="3"/>
            <w:tcBorders>
              <w:top w:val="single" w:sz="4" w:space="0" w:color="auto"/>
              <w:bottom w:val="single" w:sz="4" w:space="0" w:color="auto"/>
            </w:tcBorders>
          </w:tcPr>
          <w:p w14:paraId="47B86E3A" w14:textId="45ADC107" w:rsidR="00072552" w:rsidRPr="00F10029" w:rsidRDefault="00072552" w:rsidP="00072552">
            <w:pPr>
              <w:jc w:val="center"/>
              <w:rPr>
                <w:rFonts w:cs="Times New Roman"/>
                <w:b/>
                <w:sz w:val="22"/>
              </w:rPr>
            </w:pPr>
            <w:r w:rsidRPr="00F10029">
              <w:rPr>
                <w:b/>
                <w:color w:val="000000" w:themeColor="text1"/>
                <w:sz w:val="22"/>
              </w:rPr>
              <w:t>food and beverages</w:t>
            </w:r>
          </w:p>
        </w:tc>
        <w:tc>
          <w:tcPr>
            <w:tcW w:w="2705" w:type="dxa"/>
            <w:gridSpan w:val="3"/>
            <w:tcBorders>
              <w:top w:val="single" w:sz="4" w:space="0" w:color="auto"/>
              <w:bottom w:val="single" w:sz="4" w:space="0" w:color="auto"/>
            </w:tcBorders>
          </w:tcPr>
          <w:p w14:paraId="3B8ADA53" w14:textId="35D30C86" w:rsidR="00072552" w:rsidRPr="00F10029" w:rsidRDefault="00072552" w:rsidP="00072552">
            <w:pPr>
              <w:jc w:val="center"/>
              <w:rPr>
                <w:rFonts w:cs="Times New Roman"/>
                <w:b/>
                <w:sz w:val="22"/>
              </w:rPr>
            </w:pPr>
            <w:r w:rsidRPr="00F10029">
              <w:rPr>
                <w:b/>
                <w:color w:val="000000" w:themeColor="text1"/>
                <w:sz w:val="22"/>
              </w:rPr>
              <w:t>Telecommunications</w:t>
            </w:r>
          </w:p>
        </w:tc>
        <w:tc>
          <w:tcPr>
            <w:tcW w:w="2398" w:type="dxa"/>
            <w:gridSpan w:val="3"/>
            <w:tcBorders>
              <w:top w:val="single" w:sz="4" w:space="0" w:color="auto"/>
              <w:bottom w:val="single" w:sz="4" w:space="0" w:color="auto"/>
            </w:tcBorders>
          </w:tcPr>
          <w:p w14:paraId="082F37D5" w14:textId="7C94487E" w:rsidR="00072552" w:rsidRPr="00F10029" w:rsidRDefault="00072552" w:rsidP="00072552">
            <w:pPr>
              <w:jc w:val="center"/>
              <w:rPr>
                <w:rFonts w:cs="Times New Roman"/>
                <w:b/>
                <w:sz w:val="22"/>
              </w:rPr>
            </w:pPr>
            <w:r w:rsidRPr="00F10029">
              <w:rPr>
                <w:b/>
                <w:color w:val="000000" w:themeColor="text1"/>
                <w:sz w:val="22"/>
              </w:rPr>
              <w:t>Transportation</w:t>
            </w:r>
          </w:p>
        </w:tc>
      </w:tr>
      <w:tr w:rsidR="00072552" w:rsidRPr="00F10029" w14:paraId="4E1F1BD9" w14:textId="77777777" w:rsidTr="00072552">
        <w:tc>
          <w:tcPr>
            <w:tcW w:w="828" w:type="dxa"/>
            <w:vMerge/>
            <w:tcBorders>
              <w:bottom w:val="single" w:sz="4" w:space="0" w:color="auto"/>
            </w:tcBorders>
          </w:tcPr>
          <w:p w14:paraId="69B56D0D" w14:textId="77777777" w:rsidR="00072552" w:rsidRPr="00F10029" w:rsidRDefault="00072552" w:rsidP="00072552">
            <w:pPr>
              <w:jc w:val="center"/>
              <w:rPr>
                <w:rFonts w:cs="Times New Roman"/>
                <w:b/>
                <w:sz w:val="22"/>
              </w:rPr>
            </w:pPr>
          </w:p>
        </w:tc>
        <w:tc>
          <w:tcPr>
            <w:tcW w:w="832" w:type="dxa"/>
            <w:tcBorders>
              <w:top w:val="single" w:sz="4" w:space="0" w:color="auto"/>
              <w:bottom w:val="single" w:sz="4" w:space="0" w:color="auto"/>
            </w:tcBorders>
            <w:vAlign w:val="center"/>
          </w:tcPr>
          <w:p w14:paraId="7025706C" w14:textId="62AA80DA" w:rsidR="00072552" w:rsidRPr="00F10029" w:rsidRDefault="00072552" w:rsidP="00072552">
            <w:pPr>
              <w:jc w:val="center"/>
              <w:rPr>
                <w:rFonts w:cs="Times New Roman"/>
                <w:b/>
                <w:sz w:val="22"/>
              </w:rPr>
            </w:pPr>
            <w:r w:rsidRPr="00F10029">
              <w:rPr>
                <w:b/>
                <w:color w:val="000000" w:themeColor="text1"/>
                <w:sz w:val="22"/>
              </w:rPr>
              <w:t>AAR</w:t>
            </w:r>
          </w:p>
        </w:tc>
        <w:tc>
          <w:tcPr>
            <w:tcW w:w="841" w:type="dxa"/>
            <w:tcBorders>
              <w:top w:val="single" w:sz="4" w:space="0" w:color="auto"/>
              <w:bottom w:val="single" w:sz="4" w:space="0" w:color="auto"/>
            </w:tcBorders>
            <w:vAlign w:val="center"/>
          </w:tcPr>
          <w:p w14:paraId="6756E43B" w14:textId="421E046F" w:rsidR="00072552" w:rsidRPr="00F10029" w:rsidRDefault="00072552" w:rsidP="00072552">
            <w:pPr>
              <w:jc w:val="center"/>
              <w:rPr>
                <w:rFonts w:cs="Times New Roman"/>
                <w:b/>
                <w:sz w:val="22"/>
              </w:rPr>
            </w:pPr>
            <w:r w:rsidRPr="00F10029">
              <w:rPr>
                <w:b/>
                <w:color w:val="000000" w:themeColor="text1"/>
                <w:sz w:val="22"/>
              </w:rPr>
              <w:t>t total</w:t>
            </w:r>
          </w:p>
        </w:tc>
        <w:tc>
          <w:tcPr>
            <w:tcW w:w="833" w:type="dxa"/>
            <w:tcBorders>
              <w:top w:val="single" w:sz="4" w:space="0" w:color="auto"/>
              <w:bottom w:val="single" w:sz="4" w:space="0" w:color="auto"/>
            </w:tcBorders>
            <w:vAlign w:val="center"/>
          </w:tcPr>
          <w:p w14:paraId="0B7E9529" w14:textId="149CFCFB" w:rsidR="00072552" w:rsidRPr="00F10029" w:rsidRDefault="00072552" w:rsidP="00072552">
            <w:pPr>
              <w:jc w:val="center"/>
              <w:rPr>
                <w:rFonts w:cs="Times New Roman"/>
                <w:b/>
                <w:sz w:val="22"/>
              </w:rPr>
            </w:pPr>
            <w:r w:rsidRPr="00F10029">
              <w:rPr>
                <w:b/>
                <w:color w:val="000000" w:themeColor="text1"/>
                <w:sz w:val="22"/>
              </w:rPr>
              <w:t>Sig</w:t>
            </w:r>
          </w:p>
        </w:tc>
        <w:tc>
          <w:tcPr>
            <w:tcW w:w="834" w:type="dxa"/>
            <w:tcBorders>
              <w:top w:val="single" w:sz="4" w:space="0" w:color="auto"/>
              <w:bottom w:val="single" w:sz="4" w:space="0" w:color="auto"/>
            </w:tcBorders>
            <w:vAlign w:val="center"/>
          </w:tcPr>
          <w:p w14:paraId="122D04B0" w14:textId="65A1D6D0" w:rsidR="00072552" w:rsidRPr="00F10029" w:rsidRDefault="00072552" w:rsidP="00072552">
            <w:pPr>
              <w:jc w:val="center"/>
              <w:rPr>
                <w:rFonts w:cs="Times New Roman"/>
                <w:b/>
                <w:sz w:val="22"/>
              </w:rPr>
            </w:pPr>
            <w:r w:rsidRPr="00F10029">
              <w:rPr>
                <w:b/>
                <w:color w:val="000000" w:themeColor="text1"/>
                <w:sz w:val="22"/>
              </w:rPr>
              <w:t>AAR</w:t>
            </w:r>
          </w:p>
        </w:tc>
        <w:tc>
          <w:tcPr>
            <w:tcW w:w="936" w:type="dxa"/>
            <w:tcBorders>
              <w:top w:val="single" w:sz="4" w:space="0" w:color="auto"/>
              <w:bottom w:val="single" w:sz="4" w:space="0" w:color="auto"/>
            </w:tcBorders>
            <w:vAlign w:val="center"/>
          </w:tcPr>
          <w:p w14:paraId="64198FA7" w14:textId="0CBADB28" w:rsidR="00072552" w:rsidRPr="00F10029" w:rsidRDefault="00072552" w:rsidP="00072552">
            <w:pPr>
              <w:jc w:val="center"/>
              <w:rPr>
                <w:rFonts w:cs="Times New Roman"/>
                <w:b/>
                <w:sz w:val="22"/>
              </w:rPr>
            </w:pPr>
            <w:r w:rsidRPr="00F10029">
              <w:rPr>
                <w:b/>
                <w:color w:val="000000" w:themeColor="text1"/>
                <w:sz w:val="22"/>
              </w:rPr>
              <w:t>t total</w:t>
            </w:r>
          </w:p>
        </w:tc>
        <w:tc>
          <w:tcPr>
            <w:tcW w:w="992" w:type="dxa"/>
            <w:tcBorders>
              <w:top w:val="single" w:sz="4" w:space="0" w:color="auto"/>
              <w:bottom w:val="single" w:sz="4" w:space="0" w:color="auto"/>
            </w:tcBorders>
            <w:vAlign w:val="center"/>
          </w:tcPr>
          <w:p w14:paraId="43A8F0F4" w14:textId="77764F17" w:rsidR="00072552" w:rsidRPr="00F10029" w:rsidRDefault="00072552" w:rsidP="00072552">
            <w:pPr>
              <w:jc w:val="center"/>
              <w:rPr>
                <w:rFonts w:cs="Times New Roman"/>
                <w:b/>
                <w:sz w:val="22"/>
              </w:rPr>
            </w:pPr>
            <w:r w:rsidRPr="00F10029">
              <w:rPr>
                <w:b/>
                <w:color w:val="000000" w:themeColor="text1"/>
                <w:sz w:val="22"/>
              </w:rPr>
              <w:t>Sig</w:t>
            </w:r>
          </w:p>
        </w:tc>
        <w:tc>
          <w:tcPr>
            <w:tcW w:w="992" w:type="dxa"/>
            <w:tcBorders>
              <w:top w:val="single" w:sz="4" w:space="0" w:color="auto"/>
              <w:bottom w:val="single" w:sz="4" w:space="0" w:color="auto"/>
            </w:tcBorders>
            <w:vAlign w:val="center"/>
          </w:tcPr>
          <w:p w14:paraId="4330A113" w14:textId="10C52317" w:rsidR="00072552" w:rsidRPr="00F10029" w:rsidRDefault="00072552" w:rsidP="00072552">
            <w:pPr>
              <w:jc w:val="center"/>
              <w:rPr>
                <w:rFonts w:cs="Times New Roman"/>
                <w:b/>
                <w:sz w:val="22"/>
              </w:rPr>
            </w:pPr>
            <w:r w:rsidRPr="00F10029">
              <w:rPr>
                <w:b/>
                <w:color w:val="000000" w:themeColor="text1"/>
                <w:sz w:val="22"/>
              </w:rPr>
              <w:t>AAR</w:t>
            </w:r>
          </w:p>
        </w:tc>
        <w:tc>
          <w:tcPr>
            <w:tcW w:w="941" w:type="dxa"/>
            <w:tcBorders>
              <w:top w:val="single" w:sz="4" w:space="0" w:color="auto"/>
              <w:bottom w:val="single" w:sz="4" w:space="0" w:color="auto"/>
            </w:tcBorders>
            <w:vAlign w:val="center"/>
          </w:tcPr>
          <w:p w14:paraId="3BA026FA" w14:textId="75DFD509" w:rsidR="00072552" w:rsidRPr="00F10029" w:rsidRDefault="00072552" w:rsidP="00072552">
            <w:pPr>
              <w:jc w:val="center"/>
              <w:rPr>
                <w:rFonts w:cs="Times New Roman"/>
                <w:b/>
                <w:sz w:val="22"/>
              </w:rPr>
            </w:pPr>
            <w:r w:rsidRPr="00F10029">
              <w:rPr>
                <w:b/>
                <w:color w:val="000000" w:themeColor="text1"/>
                <w:sz w:val="22"/>
              </w:rPr>
              <w:t>t total</w:t>
            </w:r>
          </w:p>
        </w:tc>
        <w:tc>
          <w:tcPr>
            <w:tcW w:w="772" w:type="dxa"/>
            <w:tcBorders>
              <w:top w:val="single" w:sz="4" w:space="0" w:color="auto"/>
              <w:bottom w:val="single" w:sz="4" w:space="0" w:color="auto"/>
            </w:tcBorders>
            <w:vAlign w:val="center"/>
          </w:tcPr>
          <w:p w14:paraId="0A040CD4" w14:textId="26FCB681" w:rsidR="00072552" w:rsidRPr="00F10029" w:rsidRDefault="00072552" w:rsidP="00072552">
            <w:pPr>
              <w:jc w:val="center"/>
              <w:rPr>
                <w:rFonts w:cs="Times New Roman"/>
                <w:b/>
                <w:sz w:val="22"/>
              </w:rPr>
            </w:pPr>
            <w:r w:rsidRPr="00F10029">
              <w:rPr>
                <w:b/>
                <w:color w:val="000000" w:themeColor="text1"/>
                <w:sz w:val="22"/>
              </w:rPr>
              <w:t>Sig</w:t>
            </w:r>
          </w:p>
        </w:tc>
        <w:tc>
          <w:tcPr>
            <w:tcW w:w="766" w:type="dxa"/>
            <w:tcBorders>
              <w:top w:val="single" w:sz="4" w:space="0" w:color="auto"/>
              <w:bottom w:val="single" w:sz="4" w:space="0" w:color="auto"/>
            </w:tcBorders>
            <w:vAlign w:val="center"/>
          </w:tcPr>
          <w:p w14:paraId="586CE9D8" w14:textId="47F22CA2" w:rsidR="00072552" w:rsidRPr="00F10029" w:rsidRDefault="00072552" w:rsidP="00072552">
            <w:pPr>
              <w:jc w:val="center"/>
              <w:rPr>
                <w:rFonts w:cs="Times New Roman"/>
                <w:b/>
                <w:sz w:val="22"/>
              </w:rPr>
            </w:pPr>
            <w:r w:rsidRPr="00F10029">
              <w:rPr>
                <w:b/>
                <w:color w:val="000000" w:themeColor="text1"/>
                <w:sz w:val="22"/>
              </w:rPr>
              <w:t>AAR</w:t>
            </w:r>
          </w:p>
        </w:tc>
        <w:tc>
          <w:tcPr>
            <w:tcW w:w="866" w:type="dxa"/>
            <w:tcBorders>
              <w:top w:val="single" w:sz="4" w:space="0" w:color="auto"/>
              <w:bottom w:val="single" w:sz="4" w:space="0" w:color="auto"/>
            </w:tcBorders>
            <w:vAlign w:val="center"/>
          </w:tcPr>
          <w:p w14:paraId="6553F296" w14:textId="30A71E6A" w:rsidR="00072552" w:rsidRPr="00F10029" w:rsidRDefault="00072552" w:rsidP="00072552">
            <w:pPr>
              <w:jc w:val="center"/>
              <w:rPr>
                <w:rFonts w:cs="Times New Roman"/>
                <w:b/>
                <w:sz w:val="22"/>
              </w:rPr>
            </w:pPr>
            <w:r w:rsidRPr="00F10029">
              <w:rPr>
                <w:b/>
                <w:color w:val="000000" w:themeColor="text1"/>
                <w:sz w:val="22"/>
              </w:rPr>
              <w:t>t total</w:t>
            </w:r>
          </w:p>
        </w:tc>
        <w:tc>
          <w:tcPr>
            <w:tcW w:w="766" w:type="dxa"/>
            <w:tcBorders>
              <w:top w:val="single" w:sz="4" w:space="0" w:color="auto"/>
              <w:bottom w:val="single" w:sz="4" w:space="0" w:color="auto"/>
            </w:tcBorders>
            <w:vAlign w:val="center"/>
          </w:tcPr>
          <w:p w14:paraId="608E4CA4" w14:textId="1646A100" w:rsidR="00072552" w:rsidRPr="00F10029" w:rsidRDefault="00072552" w:rsidP="00072552">
            <w:pPr>
              <w:jc w:val="center"/>
              <w:rPr>
                <w:rFonts w:cs="Times New Roman"/>
                <w:b/>
                <w:sz w:val="22"/>
              </w:rPr>
            </w:pPr>
            <w:r w:rsidRPr="00F10029">
              <w:rPr>
                <w:b/>
                <w:color w:val="000000" w:themeColor="text1"/>
                <w:sz w:val="22"/>
              </w:rPr>
              <w:t>Sig</w:t>
            </w:r>
          </w:p>
        </w:tc>
      </w:tr>
      <w:tr w:rsidR="00072552" w:rsidRPr="00F10029" w14:paraId="0E6AA5C1" w14:textId="77777777" w:rsidTr="00072552">
        <w:tc>
          <w:tcPr>
            <w:tcW w:w="828" w:type="dxa"/>
            <w:tcBorders>
              <w:top w:val="single" w:sz="4" w:space="0" w:color="auto"/>
            </w:tcBorders>
            <w:vAlign w:val="center"/>
          </w:tcPr>
          <w:p w14:paraId="1A7C3FBB" w14:textId="56C076AE" w:rsidR="00E47FBB" w:rsidRPr="00F10029" w:rsidRDefault="00E47FBB" w:rsidP="00E47FBB">
            <w:pPr>
              <w:jc w:val="center"/>
              <w:rPr>
                <w:rFonts w:cs="Times New Roman"/>
                <w:bCs/>
                <w:sz w:val="20"/>
                <w:szCs w:val="20"/>
              </w:rPr>
            </w:pPr>
            <w:r w:rsidRPr="00F10029">
              <w:rPr>
                <w:rFonts w:cs="Times New Roman"/>
                <w:sz w:val="20"/>
                <w:szCs w:val="20"/>
              </w:rPr>
              <w:t>-10</w:t>
            </w:r>
          </w:p>
        </w:tc>
        <w:tc>
          <w:tcPr>
            <w:tcW w:w="832" w:type="dxa"/>
            <w:tcBorders>
              <w:top w:val="single" w:sz="4" w:space="0" w:color="auto"/>
            </w:tcBorders>
            <w:vAlign w:val="center"/>
          </w:tcPr>
          <w:p w14:paraId="2BA5B1FE" w14:textId="3095D95D" w:rsidR="00E47FBB" w:rsidRPr="00F10029" w:rsidRDefault="00E47FBB" w:rsidP="00E47FBB">
            <w:pPr>
              <w:jc w:val="center"/>
              <w:rPr>
                <w:rFonts w:cs="Times New Roman"/>
                <w:bCs/>
                <w:sz w:val="20"/>
                <w:szCs w:val="20"/>
              </w:rPr>
            </w:pPr>
            <w:r w:rsidRPr="00F10029">
              <w:rPr>
                <w:rFonts w:cs="Times New Roman"/>
                <w:sz w:val="20"/>
                <w:szCs w:val="20"/>
              </w:rPr>
              <w:t>-0.0108</w:t>
            </w:r>
          </w:p>
        </w:tc>
        <w:tc>
          <w:tcPr>
            <w:tcW w:w="841" w:type="dxa"/>
            <w:tcBorders>
              <w:top w:val="single" w:sz="4" w:space="0" w:color="auto"/>
            </w:tcBorders>
            <w:vAlign w:val="center"/>
          </w:tcPr>
          <w:p w14:paraId="0EAA1493" w14:textId="7FC08AB1" w:rsidR="00E47FBB" w:rsidRPr="00F10029" w:rsidRDefault="00E47FBB" w:rsidP="00E47FBB">
            <w:pPr>
              <w:jc w:val="center"/>
              <w:rPr>
                <w:rFonts w:cs="Times New Roman"/>
                <w:bCs/>
                <w:sz w:val="20"/>
                <w:szCs w:val="20"/>
              </w:rPr>
            </w:pPr>
            <w:r w:rsidRPr="00F10029">
              <w:rPr>
                <w:rFonts w:cs="Times New Roman"/>
                <w:sz w:val="20"/>
                <w:szCs w:val="20"/>
              </w:rPr>
              <w:t>-1.1334</w:t>
            </w:r>
          </w:p>
        </w:tc>
        <w:tc>
          <w:tcPr>
            <w:tcW w:w="833" w:type="dxa"/>
            <w:tcBorders>
              <w:top w:val="single" w:sz="4" w:space="0" w:color="auto"/>
            </w:tcBorders>
            <w:vAlign w:val="center"/>
          </w:tcPr>
          <w:p w14:paraId="2DE400D4" w14:textId="18959433" w:rsidR="00E47FBB" w:rsidRPr="00F10029" w:rsidRDefault="00E47FBB" w:rsidP="00E47FBB">
            <w:pPr>
              <w:jc w:val="center"/>
              <w:rPr>
                <w:rFonts w:cs="Times New Roman"/>
                <w:bCs/>
                <w:sz w:val="20"/>
                <w:szCs w:val="20"/>
              </w:rPr>
            </w:pPr>
            <w:r w:rsidRPr="00F10029">
              <w:rPr>
                <w:rFonts w:cs="Times New Roman"/>
                <w:sz w:val="20"/>
                <w:szCs w:val="20"/>
              </w:rPr>
              <w:t>0.1542</w:t>
            </w:r>
          </w:p>
        </w:tc>
        <w:tc>
          <w:tcPr>
            <w:tcW w:w="834" w:type="dxa"/>
            <w:tcBorders>
              <w:top w:val="single" w:sz="4" w:space="0" w:color="auto"/>
            </w:tcBorders>
            <w:vAlign w:val="center"/>
          </w:tcPr>
          <w:p w14:paraId="1F008C0D" w14:textId="3D633195" w:rsidR="00E47FBB" w:rsidRPr="00F10029" w:rsidRDefault="00E47FBB" w:rsidP="00E47FBB">
            <w:pPr>
              <w:jc w:val="center"/>
              <w:rPr>
                <w:rFonts w:cs="Times New Roman"/>
                <w:bCs/>
                <w:sz w:val="20"/>
                <w:szCs w:val="20"/>
              </w:rPr>
            </w:pPr>
            <w:r w:rsidRPr="00F10029">
              <w:rPr>
                <w:rFonts w:cs="Times New Roman"/>
                <w:sz w:val="20"/>
                <w:szCs w:val="20"/>
              </w:rPr>
              <w:t>0.0008</w:t>
            </w:r>
          </w:p>
        </w:tc>
        <w:tc>
          <w:tcPr>
            <w:tcW w:w="936" w:type="dxa"/>
            <w:tcBorders>
              <w:top w:val="single" w:sz="4" w:space="0" w:color="auto"/>
            </w:tcBorders>
            <w:vAlign w:val="center"/>
          </w:tcPr>
          <w:p w14:paraId="730989B0" w14:textId="2171FECB" w:rsidR="00E47FBB" w:rsidRPr="00F10029" w:rsidRDefault="00E47FBB" w:rsidP="00E47FBB">
            <w:pPr>
              <w:jc w:val="center"/>
              <w:rPr>
                <w:rFonts w:cs="Times New Roman"/>
                <w:bCs/>
                <w:sz w:val="20"/>
                <w:szCs w:val="20"/>
              </w:rPr>
            </w:pPr>
            <w:r w:rsidRPr="00F10029">
              <w:rPr>
                <w:rFonts w:cs="Times New Roman"/>
                <w:sz w:val="20"/>
                <w:szCs w:val="20"/>
              </w:rPr>
              <w:t>0.2535</w:t>
            </w:r>
          </w:p>
        </w:tc>
        <w:tc>
          <w:tcPr>
            <w:tcW w:w="992" w:type="dxa"/>
            <w:tcBorders>
              <w:top w:val="single" w:sz="4" w:space="0" w:color="auto"/>
            </w:tcBorders>
            <w:vAlign w:val="center"/>
          </w:tcPr>
          <w:p w14:paraId="4FF42344" w14:textId="2D48672C" w:rsidR="00E47FBB" w:rsidRPr="00F10029" w:rsidRDefault="00E47FBB" w:rsidP="00E47FBB">
            <w:pPr>
              <w:jc w:val="center"/>
              <w:rPr>
                <w:rFonts w:cs="Times New Roman"/>
                <w:bCs/>
                <w:sz w:val="20"/>
                <w:szCs w:val="20"/>
              </w:rPr>
            </w:pPr>
            <w:r w:rsidRPr="00F10029">
              <w:rPr>
                <w:rFonts w:cs="Times New Roman"/>
                <w:sz w:val="20"/>
                <w:szCs w:val="20"/>
              </w:rPr>
              <w:t>0.4025</w:t>
            </w:r>
          </w:p>
        </w:tc>
        <w:tc>
          <w:tcPr>
            <w:tcW w:w="992" w:type="dxa"/>
            <w:tcBorders>
              <w:top w:val="single" w:sz="4" w:space="0" w:color="auto"/>
            </w:tcBorders>
            <w:vAlign w:val="center"/>
          </w:tcPr>
          <w:p w14:paraId="63F9CB22" w14:textId="4DAACA04" w:rsidR="00E47FBB" w:rsidRPr="00F10029" w:rsidRDefault="00E47FBB" w:rsidP="00E47FBB">
            <w:pPr>
              <w:jc w:val="center"/>
              <w:rPr>
                <w:rFonts w:cs="Times New Roman"/>
                <w:bCs/>
                <w:sz w:val="20"/>
                <w:szCs w:val="20"/>
              </w:rPr>
            </w:pPr>
            <w:r w:rsidRPr="00F10029">
              <w:rPr>
                <w:rFonts w:cs="Times New Roman"/>
                <w:sz w:val="20"/>
                <w:szCs w:val="20"/>
              </w:rPr>
              <w:t>-0.0041</w:t>
            </w:r>
          </w:p>
        </w:tc>
        <w:tc>
          <w:tcPr>
            <w:tcW w:w="941" w:type="dxa"/>
            <w:tcBorders>
              <w:top w:val="single" w:sz="4" w:space="0" w:color="auto"/>
            </w:tcBorders>
            <w:vAlign w:val="center"/>
          </w:tcPr>
          <w:p w14:paraId="00F2B29E" w14:textId="2C14DCC9" w:rsidR="00E47FBB" w:rsidRPr="00F10029" w:rsidRDefault="00E47FBB" w:rsidP="00E47FBB">
            <w:pPr>
              <w:jc w:val="center"/>
              <w:rPr>
                <w:rFonts w:cs="Times New Roman"/>
                <w:bCs/>
                <w:sz w:val="20"/>
                <w:szCs w:val="20"/>
              </w:rPr>
            </w:pPr>
            <w:r w:rsidRPr="00F10029">
              <w:rPr>
                <w:rFonts w:cs="Times New Roman"/>
                <w:sz w:val="20"/>
                <w:szCs w:val="20"/>
              </w:rPr>
              <w:t>-0.7560</w:t>
            </w:r>
          </w:p>
        </w:tc>
        <w:tc>
          <w:tcPr>
            <w:tcW w:w="772" w:type="dxa"/>
            <w:tcBorders>
              <w:top w:val="single" w:sz="4" w:space="0" w:color="auto"/>
            </w:tcBorders>
            <w:vAlign w:val="center"/>
          </w:tcPr>
          <w:p w14:paraId="79BB1403" w14:textId="3766E2FC" w:rsidR="00E47FBB" w:rsidRPr="00F10029" w:rsidRDefault="00E47FBB" w:rsidP="00E47FBB">
            <w:pPr>
              <w:jc w:val="center"/>
              <w:rPr>
                <w:rFonts w:cs="Times New Roman"/>
                <w:bCs/>
                <w:sz w:val="20"/>
                <w:szCs w:val="20"/>
              </w:rPr>
            </w:pPr>
            <w:r w:rsidRPr="00F10029">
              <w:rPr>
                <w:rFonts w:cs="Times New Roman"/>
                <w:sz w:val="20"/>
                <w:szCs w:val="20"/>
              </w:rPr>
              <w:t>0.2459</w:t>
            </w:r>
          </w:p>
        </w:tc>
        <w:tc>
          <w:tcPr>
            <w:tcW w:w="766" w:type="dxa"/>
            <w:tcBorders>
              <w:top w:val="single" w:sz="4" w:space="0" w:color="auto"/>
            </w:tcBorders>
            <w:vAlign w:val="center"/>
          </w:tcPr>
          <w:p w14:paraId="18FBB546" w14:textId="011EC0D5" w:rsidR="00E47FBB" w:rsidRPr="00F10029" w:rsidRDefault="00E47FBB" w:rsidP="00E47FBB">
            <w:pPr>
              <w:jc w:val="center"/>
              <w:rPr>
                <w:rFonts w:cs="Times New Roman"/>
                <w:bCs/>
                <w:sz w:val="20"/>
                <w:szCs w:val="20"/>
              </w:rPr>
            </w:pPr>
            <w:r w:rsidRPr="00F10029">
              <w:rPr>
                <w:rFonts w:cs="Times New Roman"/>
                <w:sz w:val="20"/>
                <w:szCs w:val="20"/>
              </w:rPr>
              <w:t>0.0059</w:t>
            </w:r>
          </w:p>
        </w:tc>
        <w:tc>
          <w:tcPr>
            <w:tcW w:w="866" w:type="dxa"/>
            <w:tcBorders>
              <w:top w:val="single" w:sz="4" w:space="0" w:color="auto"/>
            </w:tcBorders>
            <w:vAlign w:val="center"/>
          </w:tcPr>
          <w:p w14:paraId="0B65F8F4" w14:textId="13D85258" w:rsidR="00E47FBB" w:rsidRPr="00F10029" w:rsidRDefault="00E47FBB" w:rsidP="00E47FBB">
            <w:pPr>
              <w:jc w:val="center"/>
              <w:rPr>
                <w:rFonts w:cs="Times New Roman"/>
                <w:bCs/>
                <w:sz w:val="20"/>
                <w:szCs w:val="20"/>
              </w:rPr>
            </w:pPr>
            <w:r w:rsidRPr="00F10029">
              <w:rPr>
                <w:rFonts w:cs="Times New Roman"/>
                <w:sz w:val="20"/>
                <w:szCs w:val="20"/>
              </w:rPr>
              <w:t>1.2041</w:t>
            </w:r>
          </w:p>
        </w:tc>
        <w:tc>
          <w:tcPr>
            <w:tcW w:w="766" w:type="dxa"/>
            <w:tcBorders>
              <w:top w:val="single" w:sz="4" w:space="0" w:color="auto"/>
            </w:tcBorders>
            <w:vAlign w:val="center"/>
          </w:tcPr>
          <w:p w14:paraId="620C56CB" w14:textId="6CDBBED4" w:rsidR="00E47FBB" w:rsidRPr="00F10029" w:rsidRDefault="00E47FBB" w:rsidP="00E47FBB">
            <w:pPr>
              <w:jc w:val="center"/>
              <w:rPr>
                <w:rFonts w:cs="Times New Roman"/>
                <w:bCs/>
                <w:sz w:val="20"/>
                <w:szCs w:val="20"/>
              </w:rPr>
            </w:pPr>
            <w:r w:rsidRPr="00F10029">
              <w:rPr>
                <w:rFonts w:cs="Times New Roman"/>
                <w:sz w:val="20"/>
                <w:szCs w:val="20"/>
              </w:rPr>
              <w:t>0.1243</w:t>
            </w:r>
          </w:p>
        </w:tc>
      </w:tr>
      <w:tr w:rsidR="00072552" w:rsidRPr="00F10029" w14:paraId="07BE22EE" w14:textId="77777777" w:rsidTr="00072552">
        <w:tc>
          <w:tcPr>
            <w:tcW w:w="828" w:type="dxa"/>
            <w:vAlign w:val="center"/>
          </w:tcPr>
          <w:p w14:paraId="2C65A831" w14:textId="4534AD95" w:rsidR="00E47FBB" w:rsidRPr="00F10029" w:rsidRDefault="00E47FBB" w:rsidP="00E47FBB">
            <w:pPr>
              <w:jc w:val="center"/>
              <w:rPr>
                <w:rFonts w:cs="Times New Roman"/>
                <w:bCs/>
                <w:sz w:val="20"/>
                <w:szCs w:val="20"/>
              </w:rPr>
            </w:pPr>
            <w:r w:rsidRPr="00F10029">
              <w:rPr>
                <w:rFonts w:cs="Times New Roman"/>
                <w:sz w:val="20"/>
                <w:szCs w:val="20"/>
              </w:rPr>
              <w:t>-9</w:t>
            </w:r>
          </w:p>
        </w:tc>
        <w:tc>
          <w:tcPr>
            <w:tcW w:w="832" w:type="dxa"/>
            <w:vAlign w:val="center"/>
          </w:tcPr>
          <w:p w14:paraId="52F239CA" w14:textId="10F41834" w:rsidR="00E47FBB" w:rsidRPr="00F10029" w:rsidRDefault="00E47FBB" w:rsidP="00E47FBB">
            <w:pPr>
              <w:jc w:val="center"/>
              <w:rPr>
                <w:rFonts w:cs="Times New Roman"/>
                <w:bCs/>
                <w:sz w:val="20"/>
                <w:szCs w:val="20"/>
              </w:rPr>
            </w:pPr>
            <w:r w:rsidRPr="00F10029">
              <w:rPr>
                <w:rFonts w:cs="Times New Roman"/>
                <w:sz w:val="20"/>
                <w:szCs w:val="20"/>
              </w:rPr>
              <w:t>0.0047</w:t>
            </w:r>
          </w:p>
        </w:tc>
        <w:tc>
          <w:tcPr>
            <w:tcW w:w="841" w:type="dxa"/>
            <w:vAlign w:val="center"/>
          </w:tcPr>
          <w:p w14:paraId="319FD9FE" w14:textId="7F514C04" w:rsidR="00E47FBB" w:rsidRPr="00F10029" w:rsidRDefault="00E47FBB" w:rsidP="00E47FBB">
            <w:pPr>
              <w:jc w:val="center"/>
              <w:rPr>
                <w:rFonts w:cs="Times New Roman"/>
                <w:bCs/>
                <w:sz w:val="20"/>
                <w:szCs w:val="20"/>
              </w:rPr>
            </w:pPr>
            <w:r w:rsidRPr="00F10029">
              <w:rPr>
                <w:rFonts w:cs="Times New Roman"/>
                <w:sz w:val="20"/>
                <w:szCs w:val="20"/>
              </w:rPr>
              <w:t>0.8609</w:t>
            </w:r>
          </w:p>
        </w:tc>
        <w:tc>
          <w:tcPr>
            <w:tcW w:w="833" w:type="dxa"/>
            <w:vAlign w:val="center"/>
          </w:tcPr>
          <w:p w14:paraId="5C7AB66B" w14:textId="6CDE4071" w:rsidR="00E47FBB" w:rsidRPr="00F10029" w:rsidRDefault="00E47FBB" w:rsidP="00E47FBB">
            <w:pPr>
              <w:jc w:val="center"/>
              <w:rPr>
                <w:rFonts w:cs="Times New Roman"/>
                <w:bCs/>
                <w:sz w:val="20"/>
                <w:szCs w:val="20"/>
              </w:rPr>
            </w:pPr>
            <w:r w:rsidRPr="00F10029">
              <w:rPr>
                <w:rFonts w:cs="Times New Roman"/>
                <w:sz w:val="20"/>
                <w:szCs w:val="20"/>
              </w:rPr>
              <w:t>0.2143</w:t>
            </w:r>
          </w:p>
        </w:tc>
        <w:tc>
          <w:tcPr>
            <w:tcW w:w="834" w:type="dxa"/>
            <w:vAlign w:val="center"/>
          </w:tcPr>
          <w:p w14:paraId="6AB51C35" w14:textId="255B2D28" w:rsidR="00E47FBB" w:rsidRPr="00F10029" w:rsidRDefault="00E47FBB" w:rsidP="00E47FBB">
            <w:pPr>
              <w:jc w:val="center"/>
              <w:rPr>
                <w:rFonts w:cs="Times New Roman"/>
                <w:bCs/>
                <w:sz w:val="20"/>
                <w:szCs w:val="20"/>
              </w:rPr>
            </w:pPr>
            <w:r w:rsidRPr="00F10029">
              <w:rPr>
                <w:rFonts w:cs="Times New Roman"/>
                <w:sz w:val="20"/>
                <w:szCs w:val="20"/>
              </w:rPr>
              <w:t>0.0109</w:t>
            </w:r>
          </w:p>
        </w:tc>
        <w:tc>
          <w:tcPr>
            <w:tcW w:w="936" w:type="dxa"/>
            <w:vAlign w:val="center"/>
          </w:tcPr>
          <w:p w14:paraId="41080854" w14:textId="35E025FB" w:rsidR="00E47FBB" w:rsidRPr="00F10029" w:rsidRDefault="00E47FBB" w:rsidP="00E47FBB">
            <w:pPr>
              <w:jc w:val="center"/>
              <w:rPr>
                <w:rFonts w:cs="Times New Roman"/>
                <w:bCs/>
                <w:sz w:val="20"/>
                <w:szCs w:val="20"/>
              </w:rPr>
            </w:pPr>
            <w:r w:rsidRPr="00F10029">
              <w:rPr>
                <w:rFonts w:cs="Times New Roman"/>
                <w:sz w:val="20"/>
                <w:szCs w:val="20"/>
              </w:rPr>
              <w:t>2.4053</w:t>
            </w:r>
          </w:p>
        </w:tc>
        <w:tc>
          <w:tcPr>
            <w:tcW w:w="992" w:type="dxa"/>
            <w:vAlign w:val="center"/>
          </w:tcPr>
          <w:p w14:paraId="6C3447A5" w14:textId="731DEED7" w:rsidR="00E47FBB" w:rsidRPr="00F10029" w:rsidRDefault="00E47FBB" w:rsidP="00E47FBB">
            <w:pPr>
              <w:jc w:val="center"/>
              <w:rPr>
                <w:rFonts w:cs="Times New Roman"/>
                <w:bCs/>
                <w:sz w:val="20"/>
                <w:szCs w:val="20"/>
              </w:rPr>
            </w:pPr>
            <w:r w:rsidRPr="00F10029">
              <w:rPr>
                <w:rFonts w:cs="Times New Roman"/>
                <w:sz w:val="20"/>
                <w:szCs w:val="20"/>
              </w:rPr>
              <w:t>0.0185</w:t>
            </w:r>
          </w:p>
        </w:tc>
        <w:tc>
          <w:tcPr>
            <w:tcW w:w="992" w:type="dxa"/>
            <w:vAlign w:val="center"/>
          </w:tcPr>
          <w:p w14:paraId="2CAD6992" w14:textId="5E609415" w:rsidR="00E47FBB" w:rsidRPr="00F10029" w:rsidRDefault="00E47FBB" w:rsidP="00E47FBB">
            <w:pPr>
              <w:jc w:val="center"/>
              <w:rPr>
                <w:rFonts w:cs="Times New Roman"/>
                <w:bCs/>
                <w:sz w:val="20"/>
                <w:szCs w:val="20"/>
              </w:rPr>
            </w:pPr>
            <w:r w:rsidRPr="00F10029">
              <w:rPr>
                <w:rFonts w:cs="Times New Roman"/>
                <w:sz w:val="20"/>
                <w:szCs w:val="20"/>
              </w:rPr>
              <w:t>0.0246</w:t>
            </w:r>
          </w:p>
        </w:tc>
        <w:tc>
          <w:tcPr>
            <w:tcW w:w="941" w:type="dxa"/>
            <w:vAlign w:val="center"/>
          </w:tcPr>
          <w:p w14:paraId="13B7DDC8" w14:textId="3A1DCBB6" w:rsidR="00E47FBB" w:rsidRPr="00F10029" w:rsidRDefault="00E47FBB" w:rsidP="00E47FBB">
            <w:pPr>
              <w:jc w:val="center"/>
              <w:rPr>
                <w:rFonts w:cs="Times New Roman"/>
                <w:bCs/>
                <w:sz w:val="20"/>
                <w:szCs w:val="20"/>
              </w:rPr>
            </w:pPr>
            <w:r w:rsidRPr="00F10029">
              <w:rPr>
                <w:rFonts w:cs="Times New Roman"/>
                <w:sz w:val="20"/>
                <w:szCs w:val="20"/>
              </w:rPr>
              <w:t>2.2568</w:t>
            </w:r>
          </w:p>
        </w:tc>
        <w:tc>
          <w:tcPr>
            <w:tcW w:w="772" w:type="dxa"/>
            <w:vAlign w:val="center"/>
          </w:tcPr>
          <w:p w14:paraId="0FC41009" w14:textId="241CD60B" w:rsidR="00E47FBB" w:rsidRPr="00F10029" w:rsidRDefault="00E47FBB" w:rsidP="00E47FBB">
            <w:pPr>
              <w:jc w:val="center"/>
              <w:rPr>
                <w:rFonts w:cs="Times New Roman"/>
                <w:bCs/>
                <w:sz w:val="20"/>
                <w:szCs w:val="20"/>
              </w:rPr>
            </w:pPr>
            <w:r w:rsidRPr="00F10029">
              <w:rPr>
                <w:rFonts w:cs="Times New Roman"/>
                <w:sz w:val="20"/>
                <w:szCs w:val="20"/>
              </w:rPr>
              <w:t>0.0435</w:t>
            </w:r>
          </w:p>
        </w:tc>
        <w:tc>
          <w:tcPr>
            <w:tcW w:w="766" w:type="dxa"/>
            <w:vAlign w:val="center"/>
          </w:tcPr>
          <w:p w14:paraId="6FA7DC98" w14:textId="014C1E12" w:rsidR="00E47FBB" w:rsidRPr="00F10029" w:rsidRDefault="00E47FBB" w:rsidP="00E47FBB">
            <w:pPr>
              <w:jc w:val="center"/>
              <w:rPr>
                <w:rFonts w:cs="Times New Roman"/>
                <w:bCs/>
                <w:sz w:val="20"/>
                <w:szCs w:val="20"/>
              </w:rPr>
            </w:pPr>
            <w:r w:rsidRPr="00F10029">
              <w:rPr>
                <w:rFonts w:cs="Times New Roman"/>
                <w:sz w:val="20"/>
                <w:szCs w:val="20"/>
              </w:rPr>
              <w:t>0.0118</w:t>
            </w:r>
          </w:p>
        </w:tc>
        <w:tc>
          <w:tcPr>
            <w:tcW w:w="866" w:type="dxa"/>
            <w:vAlign w:val="center"/>
          </w:tcPr>
          <w:p w14:paraId="15C69D52" w14:textId="602A433F" w:rsidR="00E47FBB" w:rsidRPr="00F10029" w:rsidRDefault="00E47FBB" w:rsidP="00E47FBB">
            <w:pPr>
              <w:jc w:val="center"/>
              <w:rPr>
                <w:rFonts w:cs="Times New Roman"/>
                <w:bCs/>
                <w:sz w:val="20"/>
                <w:szCs w:val="20"/>
              </w:rPr>
            </w:pPr>
            <w:r w:rsidRPr="00F10029">
              <w:rPr>
                <w:rFonts w:cs="Times New Roman"/>
                <w:sz w:val="20"/>
                <w:szCs w:val="20"/>
              </w:rPr>
              <w:t>3.4806</w:t>
            </w:r>
          </w:p>
        </w:tc>
        <w:tc>
          <w:tcPr>
            <w:tcW w:w="766" w:type="dxa"/>
            <w:vAlign w:val="center"/>
          </w:tcPr>
          <w:p w14:paraId="7F8E0E0E" w14:textId="5062B642" w:rsidR="00E47FBB" w:rsidRPr="00F10029" w:rsidRDefault="00E47FBB" w:rsidP="00E47FBB">
            <w:pPr>
              <w:jc w:val="center"/>
              <w:rPr>
                <w:rFonts w:cs="Times New Roman"/>
                <w:bCs/>
                <w:sz w:val="20"/>
                <w:szCs w:val="20"/>
              </w:rPr>
            </w:pPr>
            <w:r w:rsidRPr="00F10029">
              <w:rPr>
                <w:rFonts w:cs="Times New Roman"/>
                <w:sz w:val="20"/>
                <w:szCs w:val="20"/>
              </w:rPr>
              <w:t>0.0018</w:t>
            </w:r>
          </w:p>
        </w:tc>
      </w:tr>
      <w:tr w:rsidR="00072552" w:rsidRPr="00F10029" w14:paraId="1C5B0EFF" w14:textId="77777777" w:rsidTr="00072552">
        <w:tc>
          <w:tcPr>
            <w:tcW w:w="828" w:type="dxa"/>
            <w:vAlign w:val="center"/>
          </w:tcPr>
          <w:p w14:paraId="244EB10C" w14:textId="75F6D645" w:rsidR="00E47FBB" w:rsidRPr="00F10029" w:rsidRDefault="00E47FBB" w:rsidP="00E47FBB">
            <w:pPr>
              <w:jc w:val="center"/>
              <w:rPr>
                <w:rFonts w:cs="Times New Roman"/>
                <w:bCs/>
                <w:sz w:val="20"/>
                <w:szCs w:val="20"/>
              </w:rPr>
            </w:pPr>
            <w:r w:rsidRPr="00F10029">
              <w:rPr>
                <w:rFonts w:cs="Times New Roman"/>
                <w:sz w:val="20"/>
                <w:szCs w:val="20"/>
              </w:rPr>
              <w:t>-8</w:t>
            </w:r>
          </w:p>
        </w:tc>
        <w:tc>
          <w:tcPr>
            <w:tcW w:w="832" w:type="dxa"/>
            <w:vAlign w:val="center"/>
          </w:tcPr>
          <w:p w14:paraId="79EACFC1" w14:textId="1986FC2C" w:rsidR="00E47FBB" w:rsidRPr="00F10029" w:rsidRDefault="00E47FBB" w:rsidP="00E47FBB">
            <w:pPr>
              <w:jc w:val="center"/>
              <w:rPr>
                <w:rFonts w:cs="Times New Roman"/>
                <w:bCs/>
                <w:sz w:val="20"/>
                <w:szCs w:val="20"/>
              </w:rPr>
            </w:pPr>
            <w:r w:rsidRPr="00F10029">
              <w:rPr>
                <w:rFonts w:cs="Times New Roman"/>
                <w:sz w:val="20"/>
                <w:szCs w:val="20"/>
              </w:rPr>
              <w:t>0.0435</w:t>
            </w:r>
          </w:p>
        </w:tc>
        <w:tc>
          <w:tcPr>
            <w:tcW w:w="841" w:type="dxa"/>
            <w:vAlign w:val="center"/>
          </w:tcPr>
          <w:p w14:paraId="40311A5F" w14:textId="6A84D50F" w:rsidR="00E47FBB" w:rsidRPr="00F10029" w:rsidRDefault="00E47FBB" w:rsidP="00E47FBB">
            <w:pPr>
              <w:jc w:val="center"/>
              <w:rPr>
                <w:rFonts w:cs="Times New Roman"/>
                <w:bCs/>
                <w:sz w:val="20"/>
                <w:szCs w:val="20"/>
              </w:rPr>
            </w:pPr>
            <w:r w:rsidRPr="00F10029">
              <w:rPr>
                <w:rFonts w:cs="Times New Roman"/>
                <w:sz w:val="20"/>
                <w:szCs w:val="20"/>
              </w:rPr>
              <w:t>2.1196</w:t>
            </w:r>
          </w:p>
        </w:tc>
        <w:tc>
          <w:tcPr>
            <w:tcW w:w="833" w:type="dxa"/>
            <w:vAlign w:val="center"/>
          </w:tcPr>
          <w:p w14:paraId="36CD80B5" w14:textId="04EE9FAE" w:rsidR="00E47FBB" w:rsidRPr="00F10029" w:rsidRDefault="00E47FBB" w:rsidP="00E47FBB">
            <w:pPr>
              <w:jc w:val="center"/>
              <w:rPr>
                <w:rFonts w:cs="Times New Roman"/>
                <w:bCs/>
                <w:sz w:val="20"/>
                <w:szCs w:val="20"/>
              </w:rPr>
            </w:pPr>
            <w:r w:rsidRPr="00F10029">
              <w:rPr>
                <w:rFonts w:cs="Times New Roman"/>
                <w:sz w:val="20"/>
                <w:szCs w:val="20"/>
              </w:rPr>
              <w:t>0.0438</w:t>
            </w:r>
          </w:p>
        </w:tc>
        <w:tc>
          <w:tcPr>
            <w:tcW w:w="834" w:type="dxa"/>
            <w:vAlign w:val="center"/>
          </w:tcPr>
          <w:p w14:paraId="04CF8390" w14:textId="51709A05" w:rsidR="00E47FBB" w:rsidRPr="00F10029" w:rsidRDefault="00E47FBB" w:rsidP="00E47FBB">
            <w:pPr>
              <w:jc w:val="center"/>
              <w:rPr>
                <w:rFonts w:cs="Times New Roman"/>
                <w:bCs/>
                <w:sz w:val="20"/>
                <w:szCs w:val="20"/>
              </w:rPr>
            </w:pPr>
            <w:r w:rsidRPr="00F10029">
              <w:rPr>
                <w:rFonts w:cs="Times New Roman"/>
                <w:sz w:val="20"/>
                <w:szCs w:val="20"/>
              </w:rPr>
              <w:t>0.0048</w:t>
            </w:r>
          </w:p>
        </w:tc>
        <w:tc>
          <w:tcPr>
            <w:tcW w:w="936" w:type="dxa"/>
            <w:vAlign w:val="center"/>
          </w:tcPr>
          <w:p w14:paraId="27F6DCB1" w14:textId="67D19A6A" w:rsidR="00E47FBB" w:rsidRPr="00F10029" w:rsidRDefault="00E47FBB" w:rsidP="00E47FBB">
            <w:pPr>
              <w:jc w:val="center"/>
              <w:rPr>
                <w:rFonts w:cs="Times New Roman"/>
                <w:bCs/>
                <w:sz w:val="20"/>
                <w:szCs w:val="20"/>
              </w:rPr>
            </w:pPr>
            <w:r w:rsidRPr="00F10029">
              <w:rPr>
                <w:rFonts w:cs="Times New Roman"/>
                <w:sz w:val="20"/>
                <w:szCs w:val="20"/>
              </w:rPr>
              <w:t>1.4290</w:t>
            </w:r>
          </w:p>
        </w:tc>
        <w:tc>
          <w:tcPr>
            <w:tcW w:w="992" w:type="dxa"/>
            <w:vAlign w:val="center"/>
          </w:tcPr>
          <w:p w14:paraId="447D40AD" w14:textId="6F1DC439" w:rsidR="00E47FBB" w:rsidRPr="00F10029" w:rsidRDefault="00E47FBB" w:rsidP="00E47FBB">
            <w:pPr>
              <w:jc w:val="center"/>
              <w:rPr>
                <w:rFonts w:cs="Times New Roman"/>
                <w:bCs/>
                <w:sz w:val="20"/>
                <w:szCs w:val="20"/>
              </w:rPr>
            </w:pPr>
            <w:r w:rsidRPr="00F10029">
              <w:rPr>
                <w:rFonts w:cs="Times New Roman"/>
                <w:sz w:val="20"/>
                <w:szCs w:val="20"/>
              </w:rPr>
              <w:t>0.0917</w:t>
            </w:r>
          </w:p>
        </w:tc>
        <w:tc>
          <w:tcPr>
            <w:tcW w:w="992" w:type="dxa"/>
            <w:vAlign w:val="center"/>
          </w:tcPr>
          <w:p w14:paraId="1427068A" w14:textId="63FDB83D" w:rsidR="00E47FBB" w:rsidRPr="00F10029" w:rsidRDefault="00E47FBB" w:rsidP="00E47FBB">
            <w:pPr>
              <w:jc w:val="center"/>
              <w:rPr>
                <w:rFonts w:cs="Times New Roman"/>
                <w:bCs/>
                <w:sz w:val="20"/>
                <w:szCs w:val="20"/>
              </w:rPr>
            </w:pPr>
            <w:r w:rsidRPr="00F10029">
              <w:rPr>
                <w:rFonts w:cs="Times New Roman"/>
                <w:sz w:val="20"/>
                <w:szCs w:val="20"/>
              </w:rPr>
              <w:t>0.2002</w:t>
            </w:r>
          </w:p>
        </w:tc>
        <w:tc>
          <w:tcPr>
            <w:tcW w:w="941" w:type="dxa"/>
            <w:vAlign w:val="center"/>
          </w:tcPr>
          <w:p w14:paraId="38329FDE" w14:textId="1791EDFB" w:rsidR="00E47FBB" w:rsidRPr="00F10029" w:rsidRDefault="00E47FBB" w:rsidP="00E47FBB">
            <w:pPr>
              <w:jc w:val="center"/>
              <w:rPr>
                <w:rFonts w:cs="Times New Roman"/>
                <w:bCs/>
                <w:sz w:val="20"/>
                <w:szCs w:val="20"/>
              </w:rPr>
            </w:pPr>
            <w:r w:rsidRPr="00F10029">
              <w:rPr>
                <w:rFonts w:cs="Times New Roman"/>
                <w:sz w:val="20"/>
                <w:szCs w:val="20"/>
              </w:rPr>
              <w:t>1.7494</w:t>
            </w:r>
          </w:p>
        </w:tc>
        <w:tc>
          <w:tcPr>
            <w:tcW w:w="772" w:type="dxa"/>
            <w:vAlign w:val="center"/>
          </w:tcPr>
          <w:p w14:paraId="092BE949" w14:textId="54636649" w:rsidR="00E47FBB" w:rsidRPr="00F10029" w:rsidRDefault="00E47FBB" w:rsidP="00E47FBB">
            <w:pPr>
              <w:jc w:val="center"/>
              <w:rPr>
                <w:rFonts w:cs="Times New Roman"/>
                <w:bCs/>
                <w:sz w:val="20"/>
                <w:szCs w:val="20"/>
              </w:rPr>
            </w:pPr>
            <w:r w:rsidRPr="00F10029">
              <w:rPr>
                <w:rFonts w:cs="Times New Roman"/>
                <w:sz w:val="20"/>
                <w:szCs w:val="20"/>
              </w:rPr>
              <w:t>0.0776</w:t>
            </w:r>
          </w:p>
        </w:tc>
        <w:tc>
          <w:tcPr>
            <w:tcW w:w="766" w:type="dxa"/>
            <w:vAlign w:val="center"/>
          </w:tcPr>
          <w:p w14:paraId="74A13CA1" w14:textId="0457EFE4" w:rsidR="00E47FBB" w:rsidRPr="00F10029" w:rsidRDefault="00E47FBB" w:rsidP="00E47FBB">
            <w:pPr>
              <w:jc w:val="center"/>
              <w:rPr>
                <w:rFonts w:cs="Times New Roman"/>
                <w:bCs/>
                <w:sz w:val="20"/>
                <w:szCs w:val="20"/>
              </w:rPr>
            </w:pPr>
            <w:r w:rsidRPr="00F10029">
              <w:rPr>
                <w:rFonts w:cs="Times New Roman"/>
                <w:sz w:val="20"/>
                <w:szCs w:val="20"/>
              </w:rPr>
              <w:t>0.0057</w:t>
            </w:r>
          </w:p>
        </w:tc>
        <w:tc>
          <w:tcPr>
            <w:tcW w:w="866" w:type="dxa"/>
            <w:vAlign w:val="center"/>
          </w:tcPr>
          <w:p w14:paraId="689FE5A5" w14:textId="3C9AAA7C" w:rsidR="00E47FBB" w:rsidRPr="00F10029" w:rsidRDefault="00E47FBB" w:rsidP="00E47FBB">
            <w:pPr>
              <w:jc w:val="center"/>
              <w:rPr>
                <w:rFonts w:cs="Times New Roman"/>
                <w:bCs/>
                <w:sz w:val="20"/>
                <w:szCs w:val="20"/>
              </w:rPr>
            </w:pPr>
            <w:r w:rsidRPr="00F10029">
              <w:rPr>
                <w:rFonts w:cs="Times New Roman"/>
                <w:sz w:val="20"/>
                <w:szCs w:val="20"/>
              </w:rPr>
              <w:t>1.3344</w:t>
            </w:r>
          </w:p>
        </w:tc>
        <w:tc>
          <w:tcPr>
            <w:tcW w:w="766" w:type="dxa"/>
            <w:vAlign w:val="center"/>
          </w:tcPr>
          <w:p w14:paraId="5939E034" w14:textId="148B3AC8" w:rsidR="00E47FBB" w:rsidRPr="00F10029" w:rsidRDefault="00E47FBB" w:rsidP="00E47FBB">
            <w:pPr>
              <w:jc w:val="center"/>
              <w:rPr>
                <w:rFonts w:cs="Times New Roman"/>
                <w:bCs/>
                <w:sz w:val="20"/>
                <w:szCs w:val="20"/>
              </w:rPr>
            </w:pPr>
            <w:r w:rsidRPr="00F10029">
              <w:rPr>
                <w:rFonts w:cs="Times New Roman"/>
                <w:sz w:val="20"/>
                <w:szCs w:val="20"/>
              </w:rPr>
              <w:t>0.1017</w:t>
            </w:r>
          </w:p>
        </w:tc>
      </w:tr>
      <w:tr w:rsidR="00072552" w:rsidRPr="00F10029" w14:paraId="2813F879" w14:textId="77777777" w:rsidTr="00072552">
        <w:tc>
          <w:tcPr>
            <w:tcW w:w="828" w:type="dxa"/>
            <w:vAlign w:val="center"/>
          </w:tcPr>
          <w:p w14:paraId="6C5B19E3" w14:textId="3C5AB511" w:rsidR="00E47FBB" w:rsidRPr="00F10029" w:rsidRDefault="00E47FBB" w:rsidP="00E47FBB">
            <w:pPr>
              <w:jc w:val="center"/>
              <w:rPr>
                <w:rFonts w:cs="Times New Roman"/>
                <w:bCs/>
                <w:sz w:val="20"/>
                <w:szCs w:val="20"/>
              </w:rPr>
            </w:pPr>
            <w:r w:rsidRPr="00F10029">
              <w:rPr>
                <w:rFonts w:cs="Times New Roman"/>
                <w:sz w:val="20"/>
                <w:szCs w:val="20"/>
              </w:rPr>
              <w:t>-7</w:t>
            </w:r>
          </w:p>
        </w:tc>
        <w:tc>
          <w:tcPr>
            <w:tcW w:w="832" w:type="dxa"/>
            <w:vAlign w:val="center"/>
          </w:tcPr>
          <w:p w14:paraId="7DFCFDB7" w14:textId="7EE11FAB" w:rsidR="00E47FBB" w:rsidRPr="00F10029" w:rsidRDefault="00E47FBB" w:rsidP="00E47FBB">
            <w:pPr>
              <w:jc w:val="center"/>
              <w:rPr>
                <w:rFonts w:cs="Times New Roman"/>
                <w:bCs/>
                <w:sz w:val="20"/>
                <w:szCs w:val="20"/>
              </w:rPr>
            </w:pPr>
            <w:r w:rsidRPr="00F10029">
              <w:rPr>
                <w:rFonts w:cs="Times New Roman"/>
                <w:sz w:val="20"/>
                <w:szCs w:val="20"/>
              </w:rPr>
              <w:t>-0.0056</w:t>
            </w:r>
          </w:p>
        </w:tc>
        <w:tc>
          <w:tcPr>
            <w:tcW w:w="841" w:type="dxa"/>
            <w:vAlign w:val="center"/>
          </w:tcPr>
          <w:p w14:paraId="6D9E572E" w14:textId="1D88E2CD" w:rsidR="00E47FBB" w:rsidRPr="00F10029" w:rsidRDefault="00E47FBB" w:rsidP="00E47FBB">
            <w:pPr>
              <w:jc w:val="center"/>
              <w:rPr>
                <w:rFonts w:cs="Times New Roman"/>
                <w:bCs/>
                <w:sz w:val="20"/>
                <w:szCs w:val="20"/>
              </w:rPr>
            </w:pPr>
            <w:r w:rsidRPr="00F10029">
              <w:rPr>
                <w:rFonts w:cs="Times New Roman"/>
                <w:sz w:val="20"/>
                <w:szCs w:val="20"/>
              </w:rPr>
              <w:t>-0.9307</w:t>
            </w:r>
          </w:p>
        </w:tc>
        <w:tc>
          <w:tcPr>
            <w:tcW w:w="833" w:type="dxa"/>
            <w:vAlign w:val="center"/>
          </w:tcPr>
          <w:p w14:paraId="6E8369BB" w14:textId="277199BB" w:rsidR="00E47FBB" w:rsidRPr="00F10029" w:rsidRDefault="00E47FBB" w:rsidP="00E47FBB">
            <w:pPr>
              <w:jc w:val="center"/>
              <w:rPr>
                <w:rFonts w:cs="Times New Roman"/>
                <w:bCs/>
                <w:sz w:val="20"/>
                <w:szCs w:val="20"/>
              </w:rPr>
            </w:pPr>
            <w:r w:rsidRPr="00F10029">
              <w:rPr>
                <w:rFonts w:cs="Times New Roman"/>
                <w:sz w:val="20"/>
                <w:szCs w:val="20"/>
              </w:rPr>
              <w:t>0.1974</w:t>
            </w:r>
          </w:p>
        </w:tc>
        <w:tc>
          <w:tcPr>
            <w:tcW w:w="834" w:type="dxa"/>
            <w:vAlign w:val="center"/>
          </w:tcPr>
          <w:p w14:paraId="427C2C09" w14:textId="4C236ACF" w:rsidR="00E47FBB" w:rsidRPr="00F10029" w:rsidRDefault="00E47FBB" w:rsidP="00E47FBB">
            <w:pPr>
              <w:jc w:val="center"/>
              <w:rPr>
                <w:rFonts w:cs="Times New Roman"/>
                <w:bCs/>
                <w:sz w:val="20"/>
                <w:szCs w:val="20"/>
              </w:rPr>
            </w:pPr>
            <w:r w:rsidRPr="00F10029">
              <w:rPr>
                <w:rFonts w:cs="Times New Roman"/>
                <w:sz w:val="20"/>
                <w:szCs w:val="20"/>
              </w:rPr>
              <w:t>0.0029</w:t>
            </w:r>
          </w:p>
        </w:tc>
        <w:tc>
          <w:tcPr>
            <w:tcW w:w="936" w:type="dxa"/>
            <w:vAlign w:val="center"/>
          </w:tcPr>
          <w:p w14:paraId="30B22DE9" w14:textId="05C552CE" w:rsidR="00E47FBB" w:rsidRPr="00F10029" w:rsidRDefault="00E47FBB" w:rsidP="00E47FBB">
            <w:pPr>
              <w:jc w:val="center"/>
              <w:rPr>
                <w:rFonts w:cs="Times New Roman"/>
                <w:bCs/>
                <w:sz w:val="20"/>
                <w:szCs w:val="20"/>
              </w:rPr>
            </w:pPr>
            <w:r w:rsidRPr="00F10029">
              <w:rPr>
                <w:rFonts w:cs="Times New Roman"/>
                <w:sz w:val="20"/>
                <w:szCs w:val="20"/>
              </w:rPr>
              <w:t>0.5650</w:t>
            </w:r>
          </w:p>
        </w:tc>
        <w:tc>
          <w:tcPr>
            <w:tcW w:w="992" w:type="dxa"/>
            <w:vAlign w:val="center"/>
          </w:tcPr>
          <w:p w14:paraId="3E9818EA" w14:textId="7E0666E0" w:rsidR="00E47FBB" w:rsidRPr="00F10029" w:rsidRDefault="00E47FBB" w:rsidP="00E47FBB">
            <w:pPr>
              <w:jc w:val="center"/>
              <w:rPr>
                <w:rFonts w:cs="Times New Roman"/>
                <w:bCs/>
                <w:sz w:val="20"/>
                <w:szCs w:val="20"/>
              </w:rPr>
            </w:pPr>
            <w:r w:rsidRPr="00F10029">
              <w:rPr>
                <w:rFonts w:cs="Times New Roman"/>
                <w:sz w:val="20"/>
                <w:szCs w:val="20"/>
              </w:rPr>
              <w:t>0.2923</w:t>
            </w:r>
          </w:p>
        </w:tc>
        <w:tc>
          <w:tcPr>
            <w:tcW w:w="992" w:type="dxa"/>
            <w:vAlign w:val="center"/>
          </w:tcPr>
          <w:p w14:paraId="6C00979B" w14:textId="56A58880" w:rsidR="00E47FBB" w:rsidRPr="00F10029" w:rsidRDefault="00E47FBB" w:rsidP="00E47FBB">
            <w:pPr>
              <w:jc w:val="center"/>
              <w:rPr>
                <w:rFonts w:cs="Times New Roman"/>
                <w:bCs/>
                <w:sz w:val="20"/>
                <w:szCs w:val="20"/>
              </w:rPr>
            </w:pPr>
            <w:r w:rsidRPr="00F10029">
              <w:rPr>
                <w:rFonts w:cs="Times New Roman"/>
                <w:sz w:val="20"/>
                <w:szCs w:val="20"/>
              </w:rPr>
              <w:t>-0.0149</w:t>
            </w:r>
          </w:p>
        </w:tc>
        <w:tc>
          <w:tcPr>
            <w:tcW w:w="941" w:type="dxa"/>
            <w:vAlign w:val="center"/>
          </w:tcPr>
          <w:p w14:paraId="6DC503E6" w14:textId="27726A59" w:rsidR="00E47FBB" w:rsidRPr="00F10029" w:rsidRDefault="00E47FBB" w:rsidP="00E47FBB">
            <w:pPr>
              <w:jc w:val="center"/>
              <w:rPr>
                <w:rFonts w:cs="Times New Roman"/>
                <w:bCs/>
                <w:sz w:val="20"/>
                <w:szCs w:val="20"/>
              </w:rPr>
            </w:pPr>
            <w:r w:rsidRPr="00F10029">
              <w:rPr>
                <w:rFonts w:cs="Times New Roman"/>
                <w:sz w:val="20"/>
                <w:szCs w:val="20"/>
              </w:rPr>
              <w:t>-18692</w:t>
            </w:r>
          </w:p>
        </w:tc>
        <w:tc>
          <w:tcPr>
            <w:tcW w:w="772" w:type="dxa"/>
            <w:vAlign w:val="center"/>
          </w:tcPr>
          <w:p w14:paraId="3A3392A7" w14:textId="6B66959F" w:rsidR="00E47FBB" w:rsidRPr="00F10029" w:rsidRDefault="00E47FBB" w:rsidP="00E47FBB">
            <w:pPr>
              <w:jc w:val="center"/>
              <w:rPr>
                <w:rFonts w:cs="Times New Roman"/>
                <w:bCs/>
                <w:sz w:val="20"/>
                <w:szCs w:val="20"/>
              </w:rPr>
            </w:pPr>
            <w:r w:rsidRPr="00F10029">
              <w:rPr>
                <w:rFonts w:cs="Times New Roman"/>
                <w:sz w:val="20"/>
                <w:szCs w:val="20"/>
              </w:rPr>
              <w:t>0.0675</w:t>
            </w:r>
          </w:p>
        </w:tc>
        <w:tc>
          <w:tcPr>
            <w:tcW w:w="766" w:type="dxa"/>
            <w:vAlign w:val="center"/>
          </w:tcPr>
          <w:p w14:paraId="678DF37F" w14:textId="5986E4EE" w:rsidR="00E47FBB" w:rsidRPr="00F10029" w:rsidRDefault="00E47FBB" w:rsidP="00E47FBB">
            <w:pPr>
              <w:jc w:val="center"/>
              <w:rPr>
                <w:rFonts w:cs="Times New Roman"/>
                <w:bCs/>
                <w:sz w:val="20"/>
                <w:szCs w:val="20"/>
              </w:rPr>
            </w:pPr>
            <w:r w:rsidRPr="00F10029">
              <w:rPr>
                <w:rFonts w:cs="Times New Roman"/>
                <w:sz w:val="20"/>
                <w:szCs w:val="20"/>
              </w:rPr>
              <w:t>0.0025</w:t>
            </w:r>
          </w:p>
        </w:tc>
        <w:tc>
          <w:tcPr>
            <w:tcW w:w="866" w:type="dxa"/>
            <w:vAlign w:val="center"/>
          </w:tcPr>
          <w:p w14:paraId="4BC33F61" w14:textId="27095528" w:rsidR="00E47FBB" w:rsidRPr="00F10029" w:rsidRDefault="00E47FBB" w:rsidP="00E47FBB">
            <w:pPr>
              <w:jc w:val="center"/>
              <w:rPr>
                <w:rFonts w:cs="Times New Roman"/>
                <w:bCs/>
                <w:sz w:val="20"/>
                <w:szCs w:val="20"/>
              </w:rPr>
            </w:pPr>
            <w:r w:rsidRPr="00F10029">
              <w:rPr>
                <w:rFonts w:cs="Times New Roman"/>
                <w:sz w:val="20"/>
                <w:szCs w:val="20"/>
              </w:rPr>
              <w:t>0.5964</w:t>
            </w:r>
          </w:p>
        </w:tc>
        <w:tc>
          <w:tcPr>
            <w:tcW w:w="766" w:type="dxa"/>
            <w:vAlign w:val="center"/>
          </w:tcPr>
          <w:p w14:paraId="1C6349D4" w14:textId="2C149914" w:rsidR="00E47FBB" w:rsidRPr="00F10029" w:rsidRDefault="00E47FBB" w:rsidP="00E47FBB">
            <w:pPr>
              <w:jc w:val="center"/>
              <w:rPr>
                <w:rFonts w:cs="Times New Roman"/>
                <w:bCs/>
                <w:sz w:val="20"/>
                <w:szCs w:val="20"/>
              </w:rPr>
            </w:pPr>
            <w:r w:rsidRPr="00F10029">
              <w:rPr>
                <w:rFonts w:cs="Times New Roman"/>
                <w:sz w:val="20"/>
                <w:szCs w:val="20"/>
              </w:rPr>
              <w:t>0.2802</w:t>
            </w:r>
          </w:p>
        </w:tc>
      </w:tr>
      <w:tr w:rsidR="00072552" w:rsidRPr="00F10029" w14:paraId="74736E10" w14:textId="77777777" w:rsidTr="00072552">
        <w:tc>
          <w:tcPr>
            <w:tcW w:w="828" w:type="dxa"/>
            <w:vAlign w:val="center"/>
          </w:tcPr>
          <w:p w14:paraId="2130051D" w14:textId="2D415AED" w:rsidR="00E47FBB" w:rsidRPr="00F10029" w:rsidRDefault="00E47FBB" w:rsidP="00E47FBB">
            <w:pPr>
              <w:jc w:val="center"/>
              <w:rPr>
                <w:rFonts w:cs="Times New Roman"/>
                <w:bCs/>
                <w:sz w:val="20"/>
                <w:szCs w:val="20"/>
              </w:rPr>
            </w:pPr>
            <w:r w:rsidRPr="00F10029">
              <w:rPr>
                <w:rFonts w:cs="Times New Roman"/>
                <w:sz w:val="20"/>
                <w:szCs w:val="20"/>
              </w:rPr>
              <w:t>-6</w:t>
            </w:r>
          </w:p>
        </w:tc>
        <w:tc>
          <w:tcPr>
            <w:tcW w:w="832" w:type="dxa"/>
            <w:vAlign w:val="center"/>
          </w:tcPr>
          <w:p w14:paraId="4A40E421" w14:textId="3F49F497" w:rsidR="00E47FBB" w:rsidRPr="00F10029" w:rsidRDefault="00E47FBB" w:rsidP="00E47FBB">
            <w:pPr>
              <w:jc w:val="center"/>
              <w:rPr>
                <w:rFonts w:cs="Times New Roman"/>
                <w:bCs/>
                <w:sz w:val="20"/>
                <w:szCs w:val="20"/>
              </w:rPr>
            </w:pPr>
            <w:r w:rsidRPr="00F10029">
              <w:rPr>
                <w:rFonts w:cs="Times New Roman"/>
                <w:sz w:val="20"/>
                <w:szCs w:val="20"/>
              </w:rPr>
              <w:t>-0.0094</w:t>
            </w:r>
          </w:p>
        </w:tc>
        <w:tc>
          <w:tcPr>
            <w:tcW w:w="841" w:type="dxa"/>
            <w:vAlign w:val="center"/>
          </w:tcPr>
          <w:p w14:paraId="367CA17A" w14:textId="13390B11" w:rsidR="00E47FBB" w:rsidRPr="00F10029" w:rsidRDefault="00E47FBB" w:rsidP="00E47FBB">
            <w:pPr>
              <w:jc w:val="center"/>
              <w:rPr>
                <w:rFonts w:cs="Times New Roman"/>
                <w:bCs/>
                <w:sz w:val="20"/>
                <w:szCs w:val="20"/>
              </w:rPr>
            </w:pPr>
            <w:r w:rsidRPr="00F10029">
              <w:rPr>
                <w:rFonts w:cs="Times New Roman"/>
                <w:sz w:val="20"/>
                <w:szCs w:val="20"/>
              </w:rPr>
              <w:t>-1.3053</w:t>
            </w:r>
          </w:p>
        </w:tc>
        <w:tc>
          <w:tcPr>
            <w:tcW w:w="833" w:type="dxa"/>
            <w:vAlign w:val="center"/>
          </w:tcPr>
          <w:p w14:paraId="664B96D7" w14:textId="0E6A4639" w:rsidR="00E47FBB" w:rsidRPr="00F10029" w:rsidRDefault="00E47FBB" w:rsidP="00E47FBB">
            <w:pPr>
              <w:jc w:val="center"/>
              <w:rPr>
                <w:rFonts w:cs="Times New Roman"/>
                <w:bCs/>
                <w:sz w:val="20"/>
                <w:szCs w:val="20"/>
              </w:rPr>
            </w:pPr>
            <w:r w:rsidRPr="00F10029">
              <w:rPr>
                <w:rFonts w:cs="Times New Roman"/>
                <w:sz w:val="20"/>
                <w:szCs w:val="20"/>
              </w:rPr>
              <w:t>0.1243</w:t>
            </w:r>
          </w:p>
        </w:tc>
        <w:tc>
          <w:tcPr>
            <w:tcW w:w="834" w:type="dxa"/>
            <w:vAlign w:val="center"/>
          </w:tcPr>
          <w:p w14:paraId="7CE6A7EB" w14:textId="1E14B148" w:rsidR="00E47FBB" w:rsidRPr="00F10029" w:rsidRDefault="00E47FBB" w:rsidP="00E47FBB">
            <w:pPr>
              <w:jc w:val="center"/>
              <w:rPr>
                <w:rFonts w:cs="Times New Roman"/>
                <w:bCs/>
                <w:sz w:val="20"/>
                <w:szCs w:val="20"/>
              </w:rPr>
            </w:pPr>
            <w:r w:rsidRPr="00F10029">
              <w:rPr>
                <w:rFonts w:cs="Times New Roman"/>
                <w:sz w:val="20"/>
                <w:szCs w:val="20"/>
              </w:rPr>
              <w:t>-0.0089</w:t>
            </w:r>
          </w:p>
        </w:tc>
        <w:tc>
          <w:tcPr>
            <w:tcW w:w="936" w:type="dxa"/>
            <w:vAlign w:val="center"/>
          </w:tcPr>
          <w:p w14:paraId="37C4DF34" w14:textId="1AE1CFF4" w:rsidR="00E47FBB" w:rsidRPr="00F10029" w:rsidRDefault="00E47FBB" w:rsidP="00E47FBB">
            <w:pPr>
              <w:jc w:val="center"/>
              <w:rPr>
                <w:rFonts w:cs="Times New Roman"/>
                <w:bCs/>
                <w:sz w:val="20"/>
                <w:szCs w:val="20"/>
              </w:rPr>
            </w:pPr>
            <w:r w:rsidRPr="00F10029">
              <w:rPr>
                <w:rFonts w:cs="Times New Roman"/>
                <w:sz w:val="20"/>
                <w:szCs w:val="20"/>
              </w:rPr>
              <w:t>-2.9985</w:t>
            </w:r>
          </w:p>
        </w:tc>
        <w:tc>
          <w:tcPr>
            <w:tcW w:w="992" w:type="dxa"/>
            <w:vAlign w:val="center"/>
          </w:tcPr>
          <w:p w14:paraId="16B3990C" w14:textId="63F39157" w:rsidR="00E47FBB" w:rsidRPr="00F10029" w:rsidRDefault="00E47FBB" w:rsidP="00E47FBB">
            <w:pPr>
              <w:jc w:val="center"/>
              <w:rPr>
                <w:rFonts w:cs="Times New Roman"/>
                <w:bCs/>
                <w:sz w:val="20"/>
                <w:szCs w:val="20"/>
              </w:rPr>
            </w:pPr>
            <w:r w:rsidRPr="00F10029">
              <w:rPr>
                <w:rFonts w:cs="Times New Roman"/>
                <w:sz w:val="20"/>
                <w:szCs w:val="20"/>
              </w:rPr>
              <w:t>0.0067</w:t>
            </w:r>
          </w:p>
        </w:tc>
        <w:tc>
          <w:tcPr>
            <w:tcW w:w="992" w:type="dxa"/>
            <w:vAlign w:val="center"/>
          </w:tcPr>
          <w:p w14:paraId="03031BF5" w14:textId="121B9E4F" w:rsidR="00E47FBB" w:rsidRPr="00F10029" w:rsidRDefault="00E47FBB" w:rsidP="00E47FBB">
            <w:pPr>
              <w:jc w:val="center"/>
              <w:rPr>
                <w:rFonts w:cs="Times New Roman"/>
                <w:bCs/>
                <w:sz w:val="20"/>
                <w:szCs w:val="20"/>
              </w:rPr>
            </w:pPr>
            <w:r w:rsidRPr="00F10029">
              <w:rPr>
                <w:rFonts w:cs="Times New Roman"/>
                <w:sz w:val="20"/>
                <w:szCs w:val="20"/>
              </w:rPr>
              <w:t>0.0155</w:t>
            </w:r>
          </w:p>
        </w:tc>
        <w:tc>
          <w:tcPr>
            <w:tcW w:w="941" w:type="dxa"/>
            <w:vAlign w:val="center"/>
          </w:tcPr>
          <w:p w14:paraId="29543B21" w14:textId="4894FF29" w:rsidR="00E47FBB" w:rsidRPr="00F10029" w:rsidRDefault="00E47FBB" w:rsidP="00E47FBB">
            <w:pPr>
              <w:jc w:val="center"/>
              <w:rPr>
                <w:rFonts w:cs="Times New Roman"/>
                <w:bCs/>
                <w:sz w:val="20"/>
                <w:szCs w:val="20"/>
              </w:rPr>
            </w:pPr>
            <w:r w:rsidRPr="00F10029">
              <w:rPr>
                <w:rFonts w:cs="Times New Roman"/>
                <w:sz w:val="20"/>
                <w:szCs w:val="20"/>
              </w:rPr>
              <w:t>0.6645</w:t>
            </w:r>
          </w:p>
        </w:tc>
        <w:tc>
          <w:tcPr>
            <w:tcW w:w="772" w:type="dxa"/>
            <w:vAlign w:val="center"/>
          </w:tcPr>
          <w:p w14:paraId="1F6D3284" w14:textId="170DA628" w:rsidR="00E47FBB" w:rsidRPr="00F10029" w:rsidRDefault="00E47FBB" w:rsidP="00E47FBB">
            <w:pPr>
              <w:jc w:val="center"/>
              <w:rPr>
                <w:rFonts w:cs="Times New Roman"/>
                <w:bCs/>
                <w:sz w:val="20"/>
                <w:szCs w:val="20"/>
              </w:rPr>
            </w:pPr>
            <w:r w:rsidRPr="00F10029">
              <w:rPr>
                <w:rFonts w:cs="Times New Roman"/>
                <w:sz w:val="20"/>
                <w:szCs w:val="20"/>
              </w:rPr>
              <w:t>0.2714</w:t>
            </w:r>
          </w:p>
        </w:tc>
        <w:tc>
          <w:tcPr>
            <w:tcW w:w="766" w:type="dxa"/>
            <w:vAlign w:val="center"/>
          </w:tcPr>
          <w:p w14:paraId="3B37AE0C" w14:textId="01AC1358" w:rsidR="00E47FBB" w:rsidRPr="00F10029" w:rsidRDefault="00E47FBB" w:rsidP="00E47FBB">
            <w:pPr>
              <w:jc w:val="center"/>
              <w:rPr>
                <w:rFonts w:cs="Times New Roman"/>
                <w:bCs/>
                <w:sz w:val="20"/>
                <w:szCs w:val="20"/>
              </w:rPr>
            </w:pPr>
            <w:r w:rsidRPr="00F10029">
              <w:rPr>
                <w:rFonts w:cs="Times New Roman"/>
                <w:sz w:val="20"/>
                <w:szCs w:val="20"/>
              </w:rPr>
              <w:t>-0.0092</w:t>
            </w:r>
          </w:p>
        </w:tc>
        <w:tc>
          <w:tcPr>
            <w:tcW w:w="866" w:type="dxa"/>
            <w:vAlign w:val="center"/>
          </w:tcPr>
          <w:p w14:paraId="621CCFC2" w14:textId="416EBD08" w:rsidR="00E47FBB" w:rsidRPr="00F10029" w:rsidRDefault="00E47FBB" w:rsidP="00E47FBB">
            <w:pPr>
              <w:jc w:val="center"/>
              <w:rPr>
                <w:rFonts w:cs="Times New Roman"/>
                <w:bCs/>
                <w:sz w:val="20"/>
                <w:szCs w:val="20"/>
              </w:rPr>
            </w:pPr>
            <w:r w:rsidRPr="00F10029">
              <w:rPr>
                <w:rFonts w:cs="Times New Roman"/>
                <w:sz w:val="20"/>
                <w:szCs w:val="20"/>
              </w:rPr>
              <w:t>-1.9684</w:t>
            </w:r>
          </w:p>
        </w:tc>
        <w:tc>
          <w:tcPr>
            <w:tcW w:w="766" w:type="dxa"/>
            <w:vAlign w:val="center"/>
          </w:tcPr>
          <w:p w14:paraId="065B37AC" w14:textId="5056C03D" w:rsidR="00E47FBB" w:rsidRPr="00F10029" w:rsidRDefault="00E47FBB" w:rsidP="00E47FBB">
            <w:pPr>
              <w:jc w:val="center"/>
              <w:rPr>
                <w:rFonts w:cs="Times New Roman"/>
                <w:bCs/>
                <w:sz w:val="20"/>
                <w:szCs w:val="20"/>
              </w:rPr>
            </w:pPr>
            <w:r w:rsidRPr="00F10029">
              <w:rPr>
                <w:rFonts w:cs="Times New Roman"/>
                <w:sz w:val="20"/>
                <w:szCs w:val="20"/>
              </w:rPr>
              <w:t>0.0346</w:t>
            </w:r>
          </w:p>
        </w:tc>
      </w:tr>
      <w:tr w:rsidR="00072552" w:rsidRPr="00F10029" w14:paraId="3D4892BD" w14:textId="77777777" w:rsidTr="00072552">
        <w:tc>
          <w:tcPr>
            <w:tcW w:w="828" w:type="dxa"/>
            <w:vAlign w:val="center"/>
          </w:tcPr>
          <w:p w14:paraId="0B525EF1" w14:textId="2B19B6F5" w:rsidR="00E47FBB" w:rsidRPr="00F10029" w:rsidRDefault="00E47FBB" w:rsidP="00E47FBB">
            <w:pPr>
              <w:jc w:val="center"/>
              <w:rPr>
                <w:rFonts w:cs="Times New Roman"/>
                <w:bCs/>
                <w:sz w:val="20"/>
                <w:szCs w:val="20"/>
              </w:rPr>
            </w:pPr>
            <w:r w:rsidRPr="00F10029">
              <w:rPr>
                <w:rFonts w:cs="Times New Roman"/>
                <w:sz w:val="20"/>
                <w:szCs w:val="20"/>
              </w:rPr>
              <w:t>-5</w:t>
            </w:r>
          </w:p>
        </w:tc>
        <w:tc>
          <w:tcPr>
            <w:tcW w:w="832" w:type="dxa"/>
            <w:vAlign w:val="center"/>
          </w:tcPr>
          <w:p w14:paraId="7210F23A" w14:textId="148CA3D5" w:rsidR="00E47FBB" w:rsidRPr="00F10029" w:rsidRDefault="00E47FBB" w:rsidP="00E47FBB">
            <w:pPr>
              <w:jc w:val="center"/>
              <w:rPr>
                <w:rFonts w:cs="Times New Roman"/>
                <w:bCs/>
                <w:sz w:val="20"/>
                <w:szCs w:val="20"/>
              </w:rPr>
            </w:pPr>
            <w:r w:rsidRPr="00F10029">
              <w:rPr>
                <w:rFonts w:cs="Times New Roman"/>
                <w:sz w:val="20"/>
                <w:szCs w:val="20"/>
              </w:rPr>
              <w:t>-0.0069</w:t>
            </w:r>
          </w:p>
        </w:tc>
        <w:tc>
          <w:tcPr>
            <w:tcW w:w="841" w:type="dxa"/>
            <w:vAlign w:val="center"/>
          </w:tcPr>
          <w:p w14:paraId="0F29A17F" w14:textId="7275D926" w:rsidR="00E47FBB" w:rsidRPr="00F10029" w:rsidRDefault="00E47FBB" w:rsidP="00E47FBB">
            <w:pPr>
              <w:jc w:val="center"/>
              <w:rPr>
                <w:rFonts w:cs="Times New Roman"/>
                <w:bCs/>
                <w:sz w:val="20"/>
                <w:szCs w:val="20"/>
              </w:rPr>
            </w:pPr>
            <w:r w:rsidRPr="00F10029">
              <w:rPr>
                <w:rFonts w:cs="Times New Roman"/>
                <w:sz w:val="20"/>
                <w:szCs w:val="20"/>
              </w:rPr>
              <w:t>-0.5681</w:t>
            </w:r>
          </w:p>
        </w:tc>
        <w:tc>
          <w:tcPr>
            <w:tcW w:w="833" w:type="dxa"/>
            <w:vAlign w:val="center"/>
          </w:tcPr>
          <w:p w14:paraId="4B253384" w14:textId="2E187E8B" w:rsidR="00E47FBB" w:rsidRPr="00F10029" w:rsidRDefault="00E47FBB" w:rsidP="00E47FBB">
            <w:pPr>
              <w:jc w:val="center"/>
              <w:rPr>
                <w:rFonts w:cs="Times New Roman"/>
                <w:bCs/>
                <w:sz w:val="20"/>
                <w:szCs w:val="20"/>
              </w:rPr>
            </w:pPr>
            <w:r w:rsidRPr="00F10029">
              <w:rPr>
                <w:rFonts w:cs="Times New Roman"/>
                <w:sz w:val="20"/>
                <w:szCs w:val="20"/>
              </w:rPr>
              <w:t>0.2973</w:t>
            </w:r>
          </w:p>
        </w:tc>
        <w:tc>
          <w:tcPr>
            <w:tcW w:w="834" w:type="dxa"/>
            <w:vAlign w:val="center"/>
          </w:tcPr>
          <w:p w14:paraId="6D363980" w14:textId="7CBB5829" w:rsidR="00E47FBB" w:rsidRPr="00F10029" w:rsidRDefault="00E47FBB" w:rsidP="00E47FBB">
            <w:pPr>
              <w:jc w:val="center"/>
              <w:rPr>
                <w:rFonts w:cs="Times New Roman"/>
                <w:bCs/>
                <w:sz w:val="20"/>
                <w:szCs w:val="20"/>
              </w:rPr>
            </w:pPr>
            <w:r w:rsidRPr="00F10029">
              <w:rPr>
                <w:rFonts w:cs="Times New Roman"/>
                <w:sz w:val="20"/>
                <w:szCs w:val="20"/>
              </w:rPr>
              <w:t>-0.0099</w:t>
            </w:r>
          </w:p>
        </w:tc>
        <w:tc>
          <w:tcPr>
            <w:tcW w:w="936" w:type="dxa"/>
            <w:vAlign w:val="center"/>
          </w:tcPr>
          <w:p w14:paraId="5448C894" w14:textId="3A32098B" w:rsidR="00E47FBB" w:rsidRPr="00F10029" w:rsidRDefault="00E47FBB" w:rsidP="00E47FBB">
            <w:pPr>
              <w:jc w:val="center"/>
              <w:rPr>
                <w:rFonts w:cs="Times New Roman"/>
                <w:bCs/>
                <w:sz w:val="20"/>
                <w:szCs w:val="20"/>
              </w:rPr>
            </w:pPr>
            <w:r w:rsidRPr="00F10029">
              <w:rPr>
                <w:rFonts w:cs="Times New Roman"/>
                <w:sz w:val="20"/>
                <w:szCs w:val="20"/>
              </w:rPr>
              <w:t>-1.9120</w:t>
            </w:r>
          </w:p>
        </w:tc>
        <w:tc>
          <w:tcPr>
            <w:tcW w:w="992" w:type="dxa"/>
            <w:vAlign w:val="center"/>
          </w:tcPr>
          <w:p w14:paraId="0743B0F5" w14:textId="2CA4DBA9" w:rsidR="00E47FBB" w:rsidRPr="00F10029" w:rsidRDefault="00E47FBB" w:rsidP="00E47FBB">
            <w:pPr>
              <w:jc w:val="center"/>
              <w:rPr>
                <w:rFonts w:cs="Times New Roman"/>
                <w:bCs/>
                <w:sz w:val="20"/>
                <w:szCs w:val="20"/>
              </w:rPr>
            </w:pPr>
            <w:r w:rsidRPr="00F10029">
              <w:rPr>
                <w:rFonts w:cs="Times New Roman"/>
                <w:sz w:val="20"/>
                <w:szCs w:val="20"/>
              </w:rPr>
              <w:t>0.0425</w:t>
            </w:r>
          </w:p>
        </w:tc>
        <w:tc>
          <w:tcPr>
            <w:tcW w:w="992" w:type="dxa"/>
            <w:vAlign w:val="center"/>
          </w:tcPr>
          <w:p w14:paraId="4AE85CA7" w14:textId="4B8BA4C8" w:rsidR="00E47FBB" w:rsidRPr="00F10029" w:rsidRDefault="00E47FBB" w:rsidP="00E47FBB">
            <w:pPr>
              <w:jc w:val="center"/>
              <w:rPr>
                <w:rFonts w:cs="Times New Roman"/>
                <w:bCs/>
                <w:sz w:val="20"/>
                <w:szCs w:val="20"/>
              </w:rPr>
            </w:pPr>
            <w:r w:rsidRPr="00F10029">
              <w:rPr>
                <w:rFonts w:cs="Times New Roman"/>
                <w:sz w:val="20"/>
                <w:szCs w:val="20"/>
              </w:rPr>
              <w:t>-0.0161</w:t>
            </w:r>
          </w:p>
        </w:tc>
        <w:tc>
          <w:tcPr>
            <w:tcW w:w="941" w:type="dxa"/>
            <w:vAlign w:val="center"/>
          </w:tcPr>
          <w:p w14:paraId="4F374E9B" w14:textId="473D63F3" w:rsidR="00E47FBB" w:rsidRPr="00F10029" w:rsidRDefault="00E47FBB" w:rsidP="00E47FBB">
            <w:pPr>
              <w:jc w:val="center"/>
              <w:rPr>
                <w:rFonts w:cs="Times New Roman"/>
                <w:bCs/>
                <w:sz w:val="20"/>
                <w:szCs w:val="20"/>
              </w:rPr>
            </w:pPr>
            <w:r w:rsidRPr="00F10029">
              <w:rPr>
                <w:rFonts w:cs="Times New Roman"/>
                <w:sz w:val="20"/>
                <w:szCs w:val="20"/>
              </w:rPr>
              <w:t>-2.8944</w:t>
            </w:r>
          </w:p>
        </w:tc>
        <w:tc>
          <w:tcPr>
            <w:tcW w:w="772" w:type="dxa"/>
            <w:vAlign w:val="center"/>
          </w:tcPr>
          <w:p w14:paraId="17CF6548" w14:textId="19302C35" w:rsidR="00E47FBB" w:rsidRPr="00F10029" w:rsidRDefault="00E47FBB" w:rsidP="00E47FBB">
            <w:pPr>
              <w:jc w:val="center"/>
              <w:rPr>
                <w:rFonts w:cs="Times New Roman"/>
                <w:bCs/>
                <w:sz w:val="20"/>
                <w:szCs w:val="20"/>
              </w:rPr>
            </w:pPr>
            <w:r w:rsidRPr="00F10029">
              <w:rPr>
                <w:rFonts w:cs="Times New Roman"/>
                <w:sz w:val="20"/>
                <w:szCs w:val="20"/>
              </w:rPr>
              <w:t>0.0222</w:t>
            </w:r>
          </w:p>
        </w:tc>
        <w:tc>
          <w:tcPr>
            <w:tcW w:w="766" w:type="dxa"/>
            <w:vAlign w:val="center"/>
          </w:tcPr>
          <w:p w14:paraId="0A6D2DE3" w14:textId="681CB94E" w:rsidR="00E47FBB" w:rsidRPr="00F10029" w:rsidRDefault="00E47FBB" w:rsidP="00E47FBB">
            <w:pPr>
              <w:jc w:val="center"/>
              <w:rPr>
                <w:rFonts w:cs="Times New Roman"/>
                <w:bCs/>
                <w:sz w:val="20"/>
                <w:szCs w:val="20"/>
              </w:rPr>
            </w:pPr>
            <w:r w:rsidRPr="00F10029">
              <w:rPr>
                <w:rFonts w:cs="Times New Roman"/>
                <w:sz w:val="20"/>
                <w:szCs w:val="20"/>
              </w:rPr>
              <w:t>-0.0300</w:t>
            </w:r>
          </w:p>
        </w:tc>
        <w:tc>
          <w:tcPr>
            <w:tcW w:w="866" w:type="dxa"/>
            <w:vAlign w:val="center"/>
          </w:tcPr>
          <w:p w14:paraId="19860FD2" w14:textId="30FDCD30" w:rsidR="00E47FBB" w:rsidRPr="00F10029" w:rsidRDefault="00E47FBB" w:rsidP="00E47FBB">
            <w:pPr>
              <w:jc w:val="center"/>
              <w:rPr>
                <w:rFonts w:cs="Times New Roman"/>
                <w:bCs/>
                <w:sz w:val="20"/>
                <w:szCs w:val="20"/>
              </w:rPr>
            </w:pPr>
            <w:r w:rsidRPr="00F10029">
              <w:rPr>
                <w:rFonts w:cs="Times New Roman"/>
                <w:sz w:val="20"/>
                <w:szCs w:val="20"/>
              </w:rPr>
              <w:t>-2.4463</w:t>
            </w:r>
          </w:p>
        </w:tc>
        <w:tc>
          <w:tcPr>
            <w:tcW w:w="766" w:type="dxa"/>
            <w:vAlign w:val="center"/>
          </w:tcPr>
          <w:p w14:paraId="4719A12A" w14:textId="13B57AD7" w:rsidR="00E47FBB" w:rsidRPr="00F10029" w:rsidRDefault="00E47FBB" w:rsidP="00E47FBB">
            <w:pPr>
              <w:jc w:val="center"/>
              <w:rPr>
                <w:rFonts w:cs="Times New Roman"/>
                <w:bCs/>
                <w:sz w:val="20"/>
                <w:szCs w:val="20"/>
              </w:rPr>
            </w:pPr>
            <w:r w:rsidRPr="00F10029">
              <w:rPr>
                <w:rFonts w:cs="Times New Roman"/>
                <w:sz w:val="20"/>
                <w:szCs w:val="20"/>
              </w:rPr>
              <w:t>0.0141</w:t>
            </w:r>
          </w:p>
        </w:tc>
      </w:tr>
      <w:tr w:rsidR="00072552" w:rsidRPr="00F10029" w14:paraId="0A40C6AB" w14:textId="77777777" w:rsidTr="00072552">
        <w:tc>
          <w:tcPr>
            <w:tcW w:w="828" w:type="dxa"/>
            <w:vAlign w:val="center"/>
          </w:tcPr>
          <w:p w14:paraId="24322545" w14:textId="343639C3" w:rsidR="00E47FBB" w:rsidRPr="00F10029" w:rsidRDefault="00E47FBB" w:rsidP="00E47FBB">
            <w:pPr>
              <w:jc w:val="center"/>
              <w:rPr>
                <w:rFonts w:cs="Times New Roman"/>
                <w:bCs/>
                <w:sz w:val="20"/>
                <w:szCs w:val="20"/>
              </w:rPr>
            </w:pPr>
            <w:r w:rsidRPr="00F10029">
              <w:rPr>
                <w:rFonts w:cs="Times New Roman"/>
                <w:sz w:val="20"/>
                <w:szCs w:val="20"/>
              </w:rPr>
              <w:t>-4</w:t>
            </w:r>
          </w:p>
        </w:tc>
        <w:tc>
          <w:tcPr>
            <w:tcW w:w="832" w:type="dxa"/>
            <w:vAlign w:val="center"/>
          </w:tcPr>
          <w:p w14:paraId="32CC7BEB" w14:textId="1F52B566" w:rsidR="00E47FBB" w:rsidRPr="00F10029" w:rsidRDefault="00E47FBB" w:rsidP="00E47FBB">
            <w:pPr>
              <w:jc w:val="center"/>
              <w:rPr>
                <w:rFonts w:cs="Times New Roman"/>
                <w:bCs/>
                <w:sz w:val="20"/>
                <w:szCs w:val="20"/>
              </w:rPr>
            </w:pPr>
            <w:r w:rsidRPr="00F10029">
              <w:rPr>
                <w:rFonts w:cs="Times New Roman"/>
                <w:sz w:val="20"/>
                <w:szCs w:val="20"/>
              </w:rPr>
              <w:t>-0.0109</w:t>
            </w:r>
          </w:p>
        </w:tc>
        <w:tc>
          <w:tcPr>
            <w:tcW w:w="841" w:type="dxa"/>
            <w:vAlign w:val="center"/>
          </w:tcPr>
          <w:p w14:paraId="69BAB485" w14:textId="4305CF70" w:rsidR="00E47FBB" w:rsidRPr="00F10029" w:rsidRDefault="00E47FBB" w:rsidP="00E47FBB">
            <w:pPr>
              <w:jc w:val="center"/>
              <w:rPr>
                <w:rFonts w:cs="Times New Roman"/>
                <w:bCs/>
                <w:sz w:val="20"/>
                <w:szCs w:val="20"/>
              </w:rPr>
            </w:pPr>
            <w:r w:rsidRPr="00F10029">
              <w:rPr>
                <w:rFonts w:cs="Times New Roman"/>
                <w:sz w:val="20"/>
                <w:szCs w:val="20"/>
              </w:rPr>
              <w:t>-0.6947</w:t>
            </w:r>
          </w:p>
        </w:tc>
        <w:tc>
          <w:tcPr>
            <w:tcW w:w="833" w:type="dxa"/>
            <w:vAlign w:val="center"/>
          </w:tcPr>
          <w:p w14:paraId="3AAC3D77" w14:textId="50F3DD2B" w:rsidR="00E47FBB" w:rsidRPr="00F10029" w:rsidRDefault="00E47FBB" w:rsidP="00E47FBB">
            <w:pPr>
              <w:jc w:val="center"/>
              <w:rPr>
                <w:rFonts w:cs="Times New Roman"/>
                <w:bCs/>
                <w:sz w:val="20"/>
                <w:szCs w:val="20"/>
              </w:rPr>
            </w:pPr>
            <w:r w:rsidRPr="00F10029">
              <w:rPr>
                <w:rFonts w:cs="Times New Roman"/>
                <w:sz w:val="20"/>
                <w:szCs w:val="20"/>
              </w:rPr>
              <w:t>0.2591</w:t>
            </w:r>
          </w:p>
        </w:tc>
        <w:tc>
          <w:tcPr>
            <w:tcW w:w="834" w:type="dxa"/>
            <w:vAlign w:val="center"/>
          </w:tcPr>
          <w:p w14:paraId="7CBECE53" w14:textId="3678A086" w:rsidR="00E47FBB" w:rsidRPr="00F10029" w:rsidRDefault="00E47FBB" w:rsidP="00E47FBB">
            <w:pPr>
              <w:jc w:val="center"/>
              <w:rPr>
                <w:rFonts w:cs="Times New Roman"/>
                <w:bCs/>
                <w:sz w:val="20"/>
                <w:szCs w:val="20"/>
              </w:rPr>
            </w:pPr>
            <w:r w:rsidRPr="00F10029">
              <w:rPr>
                <w:rFonts w:cs="Times New Roman"/>
                <w:sz w:val="20"/>
                <w:szCs w:val="20"/>
              </w:rPr>
              <w:t>-0.0101</w:t>
            </w:r>
          </w:p>
        </w:tc>
        <w:tc>
          <w:tcPr>
            <w:tcW w:w="936" w:type="dxa"/>
            <w:vAlign w:val="center"/>
          </w:tcPr>
          <w:p w14:paraId="3EFE4D06" w14:textId="4CB30FB8" w:rsidR="00E47FBB" w:rsidRPr="00F10029" w:rsidRDefault="00E47FBB" w:rsidP="00E47FBB">
            <w:pPr>
              <w:jc w:val="center"/>
              <w:rPr>
                <w:rFonts w:cs="Times New Roman"/>
                <w:bCs/>
                <w:sz w:val="20"/>
                <w:szCs w:val="20"/>
              </w:rPr>
            </w:pPr>
            <w:r w:rsidRPr="00F10029">
              <w:rPr>
                <w:rFonts w:cs="Times New Roman"/>
                <w:sz w:val="20"/>
                <w:szCs w:val="20"/>
              </w:rPr>
              <w:t>-1.4308</w:t>
            </w:r>
          </w:p>
        </w:tc>
        <w:tc>
          <w:tcPr>
            <w:tcW w:w="992" w:type="dxa"/>
            <w:vAlign w:val="center"/>
          </w:tcPr>
          <w:p w14:paraId="3CDDB739" w14:textId="0C6ED3EC" w:rsidR="00E47FBB" w:rsidRPr="00F10029" w:rsidRDefault="00E47FBB" w:rsidP="00E47FBB">
            <w:pPr>
              <w:jc w:val="center"/>
              <w:rPr>
                <w:rFonts w:cs="Times New Roman"/>
                <w:bCs/>
                <w:sz w:val="20"/>
                <w:szCs w:val="20"/>
              </w:rPr>
            </w:pPr>
            <w:r w:rsidRPr="00F10029">
              <w:rPr>
                <w:rFonts w:cs="Times New Roman"/>
                <w:sz w:val="20"/>
                <w:szCs w:val="20"/>
              </w:rPr>
              <w:t>0.0915</w:t>
            </w:r>
          </w:p>
        </w:tc>
        <w:tc>
          <w:tcPr>
            <w:tcW w:w="992" w:type="dxa"/>
            <w:vAlign w:val="center"/>
          </w:tcPr>
          <w:p w14:paraId="20CAC998" w14:textId="12C4C28E" w:rsidR="00E47FBB" w:rsidRPr="00F10029" w:rsidRDefault="00E47FBB" w:rsidP="00E47FBB">
            <w:pPr>
              <w:jc w:val="center"/>
              <w:rPr>
                <w:rFonts w:cs="Times New Roman"/>
                <w:bCs/>
                <w:sz w:val="20"/>
                <w:szCs w:val="20"/>
              </w:rPr>
            </w:pPr>
            <w:r w:rsidRPr="00F10029">
              <w:rPr>
                <w:rFonts w:cs="Times New Roman"/>
                <w:sz w:val="20"/>
                <w:szCs w:val="20"/>
              </w:rPr>
              <w:t>0.0078</w:t>
            </w:r>
          </w:p>
        </w:tc>
        <w:tc>
          <w:tcPr>
            <w:tcW w:w="941" w:type="dxa"/>
            <w:vAlign w:val="center"/>
          </w:tcPr>
          <w:p w14:paraId="1EA4956D" w14:textId="21686F72" w:rsidR="00E47FBB" w:rsidRPr="00F10029" w:rsidRDefault="00E47FBB" w:rsidP="00E47FBB">
            <w:pPr>
              <w:jc w:val="center"/>
              <w:rPr>
                <w:rFonts w:cs="Times New Roman"/>
                <w:bCs/>
                <w:sz w:val="20"/>
                <w:szCs w:val="20"/>
              </w:rPr>
            </w:pPr>
            <w:r w:rsidRPr="00F10029">
              <w:rPr>
                <w:rFonts w:cs="Times New Roman"/>
                <w:sz w:val="20"/>
                <w:szCs w:val="20"/>
              </w:rPr>
              <w:t>0.8264</w:t>
            </w:r>
          </w:p>
        </w:tc>
        <w:tc>
          <w:tcPr>
            <w:tcW w:w="772" w:type="dxa"/>
            <w:vAlign w:val="center"/>
          </w:tcPr>
          <w:p w14:paraId="2B053BD5" w14:textId="3E88222F" w:rsidR="00E47FBB" w:rsidRPr="00F10029" w:rsidRDefault="00E47FBB" w:rsidP="00E47FBB">
            <w:pPr>
              <w:jc w:val="center"/>
              <w:rPr>
                <w:rFonts w:cs="Times New Roman"/>
                <w:bCs/>
                <w:sz w:val="20"/>
                <w:szCs w:val="20"/>
              </w:rPr>
            </w:pPr>
            <w:r w:rsidRPr="00F10029">
              <w:rPr>
                <w:rFonts w:cs="Times New Roman"/>
                <w:sz w:val="20"/>
                <w:szCs w:val="20"/>
              </w:rPr>
              <w:t>0.2275</w:t>
            </w:r>
          </w:p>
        </w:tc>
        <w:tc>
          <w:tcPr>
            <w:tcW w:w="766" w:type="dxa"/>
            <w:vAlign w:val="center"/>
          </w:tcPr>
          <w:p w14:paraId="02D52DEE" w14:textId="079440A4" w:rsidR="00E47FBB" w:rsidRPr="00F10029" w:rsidRDefault="00E47FBB" w:rsidP="00E47FBB">
            <w:pPr>
              <w:jc w:val="center"/>
              <w:rPr>
                <w:rFonts w:cs="Times New Roman"/>
                <w:bCs/>
                <w:sz w:val="20"/>
                <w:szCs w:val="20"/>
              </w:rPr>
            </w:pPr>
            <w:r w:rsidRPr="00F10029">
              <w:rPr>
                <w:rFonts w:cs="Times New Roman"/>
                <w:sz w:val="20"/>
                <w:szCs w:val="20"/>
              </w:rPr>
              <w:t>-0.0114</w:t>
            </w:r>
          </w:p>
        </w:tc>
        <w:tc>
          <w:tcPr>
            <w:tcW w:w="866" w:type="dxa"/>
            <w:vAlign w:val="center"/>
          </w:tcPr>
          <w:p w14:paraId="474FA4E1" w14:textId="5D8085B4" w:rsidR="00E47FBB" w:rsidRPr="00F10029" w:rsidRDefault="00E47FBB" w:rsidP="00E47FBB">
            <w:pPr>
              <w:jc w:val="center"/>
              <w:rPr>
                <w:rFonts w:cs="Times New Roman"/>
                <w:bCs/>
                <w:sz w:val="20"/>
                <w:szCs w:val="20"/>
              </w:rPr>
            </w:pPr>
            <w:r w:rsidRPr="00F10029">
              <w:rPr>
                <w:rFonts w:cs="Times New Roman"/>
                <w:sz w:val="20"/>
                <w:szCs w:val="20"/>
              </w:rPr>
              <w:t>-1.2265</w:t>
            </w:r>
          </w:p>
        </w:tc>
        <w:tc>
          <w:tcPr>
            <w:tcW w:w="766" w:type="dxa"/>
            <w:vAlign w:val="center"/>
          </w:tcPr>
          <w:p w14:paraId="55752607" w14:textId="26963816" w:rsidR="00E47FBB" w:rsidRPr="00F10029" w:rsidRDefault="00E47FBB" w:rsidP="00E47FBB">
            <w:pPr>
              <w:jc w:val="center"/>
              <w:rPr>
                <w:rFonts w:cs="Times New Roman"/>
                <w:bCs/>
                <w:sz w:val="20"/>
                <w:szCs w:val="20"/>
              </w:rPr>
            </w:pPr>
            <w:r w:rsidRPr="00F10029">
              <w:rPr>
                <w:rFonts w:cs="Times New Roman"/>
                <w:sz w:val="20"/>
                <w:szCs w:val="20"/>
              </w:rPr>
              <w:t>0.1201</w:t>
            </w:r>
          </w:p>
        </w:tc>
      </w:tr>
      <w:tr w:rsidR="00072552" w:rsidRPr="00F10029" w14:paraId="69D128A3" w14:textId="77777777" w:rsidTr="00072552">
        <w:tc>
          <w:tcPr>
            <w:tcW w:w="828" w:type="dxa"/>
            <w:vAlign w:val="center"/>
          </w:tcPr>
          <w:p w14:paraId="721245B7" w14:textId="6BF27AD5" w:rsidR="00E47FBB" w:rsidRPr="00F10029" w:rsidRDefault="00E47FBB" w:rsidP="00E47FBB">
            <w:pPr>
              <w:jc w:val="center"/>
              <w:rPr>
                <w:rFonts w:cs="Times New Roman"/>
                <w:bCs/>
                <w:sz w:val="20"/>
                <w:szCs w:val="20"/>
              </w:rPr>
            </w:pPr>
            <w:r w:rsidRPr="00F10029">
              <w:rPr>
                <w:rFonts w:cs="Times New Roman"/>
                <w:sz w:val="20"/>
                <w:szCs w:val="20"/>
              </w:rPr>
              <w:t>-3</w:t>
            </w:r>
          </w:p>
        </w:tc>
        <w:tc>
          <w:tcPr>
            <w:tcW w:w="832" w:type="dxa"/>
            <w:vAlign w:val="center"/>
          </w:tcPr>
          <w:p w14:paraId="42097524" w14:textId="505F2B39" w:rsidR="00E47FBB" w:rsidRPr="00F10029" w:rsidRDefault="00E47FBB" w:rsidP="00E47FBB">
            <w:pPr>
              <w:jc w:val="center"/>
              <w:rPr>
                <w:rFonts w:cs="Times New Roman"/>
                <w:bCs/>
                <w:sz w:val="20"/>
                <w:szCs w:val="20"/>
              </w:rPr>
            </w:pPr>
            <w:r w:rsidRPr="00F10029">
              <w:rPr>
                <w:rFonts w:cs="Times New Roman"/>
                <w:sz w:val="20"/>
                <w:szCs w:val="20"/>
              </w:rPr>
              <w:t>-0.0295</w:t>
            </w:r>
          </w:p>
        </w:tc>
        <w:tc>
          <w:tcPr>
            <w:tcW w:w="841" w:type="dxa"/>
            <w:vAlign w:val="center"/>
          </w:tcPr>
          <w:p w14:paraId="7FDFC310" w14:textId="6E0A0EA2" w:rsidR="00E47FBB" w:rsidRPr="00F10029" w:rsidRDefault="00E47FBB" w:rsidP="00E47FBB">
            <w:pPr>
              <w:jc w:val="center"/>
              <w:rPr>
                <w:rFonts w:cs="Times New Roman"/>
                <w:bCs/>
                <w:sz w:val="20"/>
                <w:szCs w:val="20"/>
              </w:rPr>
            </w:pPr>
            <w:r w:rsidRPr="00F10029">
              <w:rPr>
                <w:rFonts w:cs="Times New Roman"/>
                <w:sz w:val="20"/>
                <w:szCs w:val="20"/>
              </w:rPr>
              <w:t>-1.8463</w:t>
            </w:r>
          </w:p>
        </w:tc>
        <w:tc>
          <w:tcPr>
            <w:tcW w:w="833" w:type="dxa"/>
            <w:vAlign w:val="center"/>
          </w:tcPr>
          <w:p w14:paraId="464B269C" w14:textId="12E05065" w:rsidR="00E47FBB" w:rsidRPr="00F10029" w:rsidRDefault="00E47FBB" w:rsidP="00E47FBB">
            <w:pPr>
              <w:jc w:val="center"/>
              <w:rPr>
                <w:rFonts w:cs="Times New Roman"/>
                <w:bCs/>
                <w:sz w:val="20"/>
                <w:szCs w:val="20"/>
              </w:rPr>
            </w:pPr>
            <w:r w:rsidRPr="00F10029">
              <w:rPr>
                <w:rFonts w:cs="Times New Roman"/>
                <w:sz w:val="20"/>
                <w:szCs w:val="20"/>
              </w:rPr>
              <w:t>0.0621</w:t>
            </w:r>
          </w:p>
        </w:tc>
        <w:tc>
          <w:tcPr>
            <w:tcW w:w="834" w:type="dxa"/>
            <w:vAlign w:val="center"/>
          </w:tcPr>
          <w:p w14:paraId="4C151ACB" w14:textId="4278E9C4" w:rsidR="00E47FBB" w:rsidRPr="00F10029" w:rsidRDefault="00E47FBB" w:rsidP="00E47FBB">
            <w:pPr>
              <w:jc w:val="center"/>
              <w:rPr>
                <w:rFonts w:cs="Times New Roman"/>
                <w:bCs/>
                <w:sz w:val="20"/>
                <w:szCs w:val="20"/>
              </w:rPr>
            </w:pPr>
            <w:r w:rsidRPr="00F10029">
              <w:rPr>
                <w:rFonts w:cs="Times New Roman"/>
                <w:sz w:val="20"/>
                <w:szCs w:val="20"/>
              </w:rPr>
              <w:t>-0.0148</w:t>
            </w:r>
          </w:p>
        </w:tc>
        <w:tc>
          <w:tcPr>
            <w:tcW w:w="936" w:type="dxa"/>
            <w:vAlign w:val="center"/>
          </w:tcPr>
          <w:p w14:paraId="60B1BBB4" w14:textId="33ACCB16" w:rsidR="00E47FBB" w:rsidRPr="00F10029" w:rsidRDefault="00E47FBB" w:rsidP="00E47FBB">
            <w:pPr>
              <w:jc w:val="center"/>
              <w:rPr>
                <w:rFonts w:cs="Times New Roman"/>
                <w:bCs/>
                <w:sz w:val="20"/>
                <w:szCs w:val="20"/>
              </w:rPr>
            </w:pPr>
            <w:r w:rsidRPr="00F10029">
              <w:rPr>
                <w:rFonts w:cs="Times New Roman"/>
                <w:sz w:val="20"/>
                <w:szCs w:val="20"/>
              </w:rPr>
              <w:t>-4.1139</w:t>
            </w:r>
          </w:p>
        </w:tc>
        <w:tc>
          <w:tcPr>
            <w:tcW w:w="992" w:type="dxa"/>
            <w:vAlign w:val="center"/>
          </w:tcPr>
          <w:p w14:paraId="1D7AE00E" w14:textId="06F7DE64" w:rsidR="00E47FBB" w:rsidRPr="00F10029" w:rsidRDefault="00E47FBB" w:rsidP="00E47FBB">
            <w:pPr>
              <w:jc w:val="center"/>
              <w:rPr>
                <w:rFonts w:cs="Times New Roman"/>
                <w:bCs/>
                <w:sz w:val="20"/>
                <w:szCs w:val="20"/>
              </w:rPr>
            </w:pPr>
            <w:r w:rsidRPr="00F10029">
              <w:rPr>
                <w:rFonts w:cs="Times New Roman"/>
                <w:sz w:val="20"/>
                <w:szCs w:val="20"/>
              </w:rPr>
              <w:t>0.0010</w:t>
            </w:r>
          </w:p>
        </w:tc>
        <w:tc>
          <w:tcPr>
            <w:tcW w:w="992" w:type="dxa"/>
            <w:vAlign w:val="center"/>
          </w:tcPr>
          <w:p w14:paraId="0DF22FA3" w14:textId="6E1B5C2C" w:rsidR="00E47FBB" w:rsidRPr="00F10029" w:rsidRDefault="00E47FBB" w:rsidP="00E47FBB">
            <w:pPr>
              <w:jc w:val="center"/>
              <w:rPr>
                <w:rFonts w:cs="Times New Roman"/>
                <w:bCs/>
                <w:sz w:val="20"/>
                <w:szCs w:val="20"/>
              </w:rPr>
            </w:pPr>
            <w:r w:rsidRPr="00F10029">
              <w:rPr>
                <w:rFonts w:cs="Times New Roman"/>
                <w:sz w:val="20"/>
                <w:szCs w:val="20"/>
              </w:rPr>
              <w:t>-0.0100</w:t>
            </w:r>
          </w:p>
        </w:tc>
        <w:tc>
          <w:tcPr>
            <w:tcW w:w="941" w:type="dxa"/>
            <w:vAlign w:val="center"/>
          </w:tcPr>
          <w:p w14:paraId="1F1A3CAF" w14:textId="2AABE684" w:rsidR="00E47FBB" w:rsidRPr="00F10029" w:rsidRDefault="00E47FBB" w:rsidP="00E47FBB">
            <w:pPr>
              <w:jc w:val="center"/>
              <w:rPr>
                <w:rFonts w:cs="Times New Roman"/>
                <w:bCs/>
                <w:sz w:val="20"/>
                <w:szCs w:val="20"/>
              </w:rPr>
            </w:pPr>
            <w:r w:rsidRPr="00F10029">
              <w:rPr>
                <w:rFonts w:cs="Times New Roman"/>
                <w:sz w:val="20"/>
                <w:szCs w:val="20"/>
              </w:rPr>
              <w:t>-1.4204</w:t>
            </w:r>
          </w:p>
        </w:tc>
        <w:tc>
          <w:tcPr>
            <w:tcW w:w="772" w:type="dxa"/>
            <w:vAlign w:val="center"/>
          </w:tcPr>
          <w:p w14:paraId="4C96CF74" w14:textId="1FB72A66" w:rsidR="00E47FBB" w:rsidRPr="00F10029" w:rsidRDefault="00E47FBB" w:rsidP="00E47FBB">
            <w:pPr>
              <w:jc w:val="center"/>
              <w:rPr>
                <w:rFonts w:cs="Times New Roman"/>
                <w:bCs/>
                <w:sz w:val="20"/>
                <w:szCs w:val="20"/>
              </w:rPr>
            </w:pPr>
            <w:r w:rsidRPr="00F10029">
              <w:rPr>
                <w:rFonts w:cs="Times New Roman"/>
                <w:sz w:val="20"/>
                <w:szCs w:val="20"/>
              </w:rPr>
              <w:t>0.1143</w:t>
            </w:r>
          </w:p>
        </w:tc>
        <w:tc>
          <w:tcPr>
            <w:tcW w:w="766" w:type="dxa"/>
            <w:vAlign w:val="center"/>
          </w:tcPr>
          <w:p w14:paraId="50A172BA" w14:textId="50E259BB" w:rsidR="00E47FBB" w:rsidRPr="00F10029" w:rsidRDefault="00E47FBB" w:rsidP="00E47FBB">
            <w:pPr>
              <w:jc w:val="center"/>
              <w:rPr>
                <w:rFonts w:cs="Times New Roman"/>
                <w:bCs/>
                <w:sz w:val="20"/>
                <w:szCs w:val="20"/>
              </w:rPr>
            </w:pPr>
            <w:r w:rsidRPr="00F10029">
              <w:rPr>
                <w:rFonts w:cs="Times New Roman"/>
                <w:sz w:val="20"/>
                <w:szCs w:val="20"/>
              </w:rPr>
              <w:t>-0.0251</w:t>
            </w:r>
          </w:p>
        </w:tc>
        <w:tc>
          <w:tcPr>
            <w:tcW w:w="866" w:type="dxa"/>
            <w:vAlign w:val="center"/>
          </w:tcPr>
          <w:p w14:paraId="5CBB1E63" w14:textId="16992A23" w:rsidR="00E47FBB" w:rsidRPr="00F10029" w:rsidRDefault="00E47FBB" w:rsidP="00E47FBB">
            <w:pPr>
              <w:jc w:val="center"/>
              <w:rPr>
                <w:rFonts w:cs="Times New Roman"/>
                <w:bCs/>
                <w:sz w:val="20"/>
                <w:szCs w:val="20"/>
              </w:rPr>
            </w:pPr>
            <w:r w:rsidRPr="00F10029">
              <w:rPr>
                <w:rFonts w:cs="Times New Roman"/>
                <w:sz w:val="20"/>
                <w:szCs w:val="20"/>
              </w:rPr>
              <w:t>-3.1936</w:t>
            </w:r>
          </w:p>
        </w:tc>
        <w:tc>
          <w:tcPr>
            <w:tcW w:w="766" w:type="dxa"/>
            <w:vAlign w:val="center"/>
          </w:tcPr>
          <w:p w14:paraId="1189AD7C" w14:textId="0CF233F8" w:rsidR="00E47FBB" w:rsidRPr="00F10029" w:rsidRDefault="00E47FBB" w:rsidP="00E47FBB">
            <w:pPr>
              <w:jc w:val="center"/>
              <w:rPr>
                <w:rFonts w:cs="Times New Roman"/>
                <w:bCs/>
                <w:sz w:val="20"/>
                <w:szCs w:val="20"/>
              </w:rPr>
            </w:pPr>
            <w:r w:rsidRPr="00F10029">
              <w:rPr>
                <w:rFonts w:cs="Times New Roman"/>
                <w:sz w:val="20"/>
                <w:szCs w:val="20"/>
              </w:rPr>
              <w:t>0.0033</w:t>
            </w:r>
          </w:p>
        </w:tc>
      </w:tr>
      <w:tr w:rsidR="00072552" w:rsidRPr="00F10029" w14:paraId="7473E3C0" w14:textId="77777777" w:rsidTr="00072552">
        <w:tc>
          <w:tcPr>
            <w:tcW w:w="828" w:type="dxa"/>
            <w:vAlign w:val="center"/>
          </w:tcPr>
          <w:p w14:paraId="1810F711" w14:textId="42C06DDC" w:rsidR="00E47FBB" w:rsidRPr="00F10029" w:rsidRDefault="00E47FBB" w:rsidP="00E47FBB">
            <w:pPr>
              <w:jc w:val="center"/>
              <w:rPr>
                <w:rFonts w:cs="Times New Roman"/>
                <w:bCs/>
                <w:sz w:val="20"/>
                <w:szCs w:val="20"/>
              </w:rPr>
            </w:pPr>
            <w:r w:rsidRPr="00F10029">
              <w:rPr>
                <w:rFonts w:cs="Times New Roman"/>
                <w:sz w:val="20"/>
                <w:szCs w:val="20"/>
              </w:rPr>
              <w:t>-2</w:t>
            </w:r>
          </w:p>
        </w:tc>
        <w:tc>
          <w:tcPr>
            <w:tcW w:w="832" w:type="dxa"/>
            <w:vAlign w:val="center"/>
          </w:tcPr>
          <w:p w14:paraId="5DE318B2" w14:textId="6B4376AC" w:rsidR="00E47FBB" w:rsidRPr="00F10029" w:rsidRDefault="00E47FBB" w:rsidP="00E47FBB">
            <w:pPr>
              <w:jc w:val="center"/>
              <w:rPr>
                <w:rFonts w:cs="Times New Roman"/>
                <w:bCs/>
                <w:sz w:val="20"/>
                <w:szCs w:val="20"/>
              </w:rPr>
            </w:pPr>
            <w:r w:rsidRPr="00F10029">
              <w:rPr>
                <w:rFonts w:cs="Times New Roman"/>
                <w:sz w:val="20"/>
                <w:szCs w:val="20"/>
              </w:rPr>
              <w:t>-0.0428</w:t>
            </w:r>
          </w:p>
        </w:tc>
        <w:tc>
          <w:tcPr>
            <w:tcW w:w="841" w:type="dxa"/>
            <w:vAlign w:val="center"/>
          </w:tcPr>
          <w:p w14:paraId="6C37567A" w14:textId="162C97F4" w:rsidR="00E47FBB" w:rsidRPr="00F10029" w:rsidRDefault="00E47FBB" w:rsidP="00E47FBB">
            <w:pPr>
              <w:jc w:val="center"/>
              <w:rPr>
                <w:rFonts w:cs="Times New Roman"/>
                <w:bCs/>
                <w:sz w:val="20"/>
                <w:szCs w:val="20"/>
              </w:rPr>
            </w:pPr>
            <w:r w:rsidRPr="00F10029">
              <w:rPr>
                <w:rFonts w:cs="Times New Roman"/>
                <w:sz w:val="20"/>
                <w:szCs w:val="20"/>
              </w:rPr>
              <w:t>-2.9605</w:t>
            </w:r>
          </w:p>
        </w:tc>
        <w:tc>
          <w:tcPr>
            <w:tcW w:w="833" w:type="dxa"/>
            <w:vAlign w:val="center"/>
          </w:tcPr>
          <w:p w14:paraId="21FD8327" w14:textId="47CE1BAB" w:rsidR="00E47FBB" w:rsidRPr="00F10029" w:rsidRDefault="00E47FBB" w:rsidP="00E47FBB">
            <w:pPr>
              <w:jc w:val="center"/>
              <w:rPr>
                <w:rFonts w:cs="Times New Roman"/>
                <w:bCs/>
                <w:sz w:val="20"/>
                <w:szCs w:val="20"/>
              </w:rPr>
            </w:pPr>
            <w:r w:rsidRPr="00F10029">
              <w:rPr>
                <w:rFonts w:cs="Times New Roman"/>
                <w:sz w:val="20"/>
                <w:szCs w:val="20"/>
              </w:rPr>
              <w:t>0.0157</w:t>
            </w:r>
          </w:p>
        </w:tc>
        <w:tc>
          <w:tcPr>
            <w:tcW w:w="834" w:type="dxa"/>
            <w:vAlign w:val="center"/>
          </w:tcPr>
          <w:p w14:paraId="159D3A53" w14:textId="49085985" w:rsidR="00E47FBB" w:rsidRPr="00F10029" w:rsidRDefault="00E47FBB" w:rsidP="00E47FBB">
            <w:pPr>
              <w:jc w:val="center"/>
              <w:rPr>
                <w:rFonts w:cs="Times New Roman"/>
                <w:bCs/>
                <w:sz w:val="20"/>
                <w:szCs w:val="20"/>
              </w:rPr>
            </w:pPr>
            <w:r w:rsidRPr="00F10029">
              <w:rPr>
                <w:rFonts w:cs="Times New Roman"/>
                <w:sz w:val="20"/>
                <w:szCs w:val="20"/>
              </w:rPr>
              <w:t>-0.0329</w:t>
            </w:r>
          </w:p>
        </w:tc>
        <w:tc>
          <w:tcPr>
            <w:tcW w:w="936" w:type="dxa"/>
            <w:vAlign w:val="center"/>
          </w:tcPr>
          <w:p w14:paraId="4BD33CBF" w14:textId="605F1A75" w:rsidR="00E47FBB" w:rsidRPr="00F10029" w:rsidRDefault="00E47FBB" w:rsidP="00E47FBB">
            <w:pPr>
              <w:jc w:val="center"/>
              <w:rPr>
                <w:rFonts w:cs="Times New Roman"/>
                <w:bCs/>
                <w:sz w:val="20"/>
                <w:szCs w:val="20"/>
              </w:rPr>
            </w:pPr>
            <w:r w:rsidRPr="00F10029">
              <w:rPr>
                <w:rFonts w:cs="Times New Roman"/>
                <w:sz w:val="20"/>
                <w:szCs w:val="20"/>
              </w:rPr>
              <w:t>-3.9961</w:t>
            </w:r>
          </w:p>
        </w:tc>
        <w:tc>
          <w:tcPr>
            <w:tcW w:w="992" w:type="dxa"/>
            <w:vAlign w:val="center"/>
          </w:tcPr>
          <w:p w14:paraId="01CE46E1" w14:textId="3B86DDDC" w:rsidR="00E47FBB" w:rsidRPr="00F10029" w:rsidRDefault="00E47FBB" w:rsidP="00E47FBB">
            <w:pPr>
              <w:jc w:val="center"/>
              <w:rPr>
                <w:rFonts w:cs="Times New Roman"/>
                <w:bCs/>
                <w:sz w:val="20"/>
                <w:szCs w:val="20"/>
              </w:rPr>
            </w:pPr>
            <w:r w:rsidRPr="00F10029">
              <w:rPr>
                <w:rFonts w:cs="Times New Roman"/>
                <w:sz w:val="20"/>
                <w:szCs w:val="20"/>
              </w:rPr>
              <w:t>0.0013</w:t>
            </w:r>
          </w:p>
        </w:tc>
        <w:tc>
          <w:tcPr>
            <w:tcW w:w="992" w:type="dxa"/>
            <w:vAlign w:val="center"/>
          </w:tcPr>
          <w:p w14:paraId="6181D0E5" w14:textId="3FFA1537" w:rsidR="00E47FBB" w:rsidRPr="00F10029" w:rsidRDefault="00E47FBB" w:rsidP="00E47FBB">
            <w:pPr>
              <w:jc w:val="center"/>
              <w:rPr>
                <w:rFonts w:cs="Times New Roman"/>
                <w:bCs/>
                <w:sz w:val="20"/>
                <w:szCs w:val="20"/>
              </w:rPr>
            </w:pPr>
            <w:r w:rsidRPr="00F10029">
              <w:rPr>
                <w:rFonts w:cs="Times New Roman"/>
                <w:sz w:val="20"/>
                <w:szCs w:val="20"/>
              </w:rPr>
              <w:t>-0.0173</w:t>
            </w:r>
          </w:p>
        </w:tc>
        <w:tc>
          <w:tcPr>
            <w:tcW w:w="941" w:type="dxa"/>
            <w:vAlign w:val="center"/>
          </w:tcPr>
          <w:p w14:paraId="4C37D302" w14:textId="780CC614" w:rsidR="00E47FBB" w:rsidRPr="00F10029" w:rsidRDefault="00E47FBB" w:rsidP="00E47FBB">
            <w:pPr>
              <w:jc w:val="center"/>
              <w:rPr>
                <w:rFonts w:cs="Times New Roman"/>
                <w:bCs/>
                <w:sz w:val="20"/>
                <w:szCs w:val="20"/>
              </w:rPr>
            </w:pPr>
            <w:r w:rsidRPr="00F10029">
              <w:rPr>
                <w:rFonts w:cs="Times New Roman"/>
                <w:sz w:val="20"/>
                <w:szCs w:val="20"/>
              </w:rPr>
              <w:t>-2.1246</w:t>
            </w:r>
          </w:p>
        </w:tc>
        <w:tc>
          <w:tcPr>
            <w:tcW w:w="772" w:type="dxa"/>
            <w:vAlign w:val="center"/>
          </w:tcPr>
          <w:p w14:paraId="14A6E133" w14:textId="1D17EB13" w:rsidR="00E47FBB" w:rsidRPr="00F10029" w:rsidRDefault="00E47FBB" w:rsidP="00E47FBB">
            <w:pPr>
              <w:jc w:val="center"/>
              <w:rPr>
                <w:rFonts w:cs="Times New Roman"/>
                <w:bCs/>
                <w:sz w:val="20"/>
                <w:szCs w:val="20"/>
              </w:rPr>
            </w:pPr>
            <w:r w:rsidRPr="00F10029">
              <w:rPr>
                <w:rFonts w:cs="Times New Roman"/>
                <w:sz w:val="20"/>
                <w:szCs w:val="20"/>
              </w:rPr>
              <w:t>0.0504</w:t>
            </w:r>
          </w:p>
        </w:tc>
        <w:tc>
          <w:tcPr>
            <w:tcW w:w="766" w:type="dxa"/>
            <w:vAlign w:val="center"/>
          </w:tcPr>
          <w:p w14:paraId="611A2376" w14:textId="39A1EA7B" w:rsidR="00E47FBB" w:rsidRPr="00F10029" w:rsidRDefault="00E47FBB" w:rsidP="00E47FBB">
            <w:pPr>
              <w:jc w:val="center"/>
              <w:rPr>
                <w:rFonts w:cs="Times New Roman"/>
                <w:bCs/>
                <w:sz w:val="20"/>
                <w:szCs w:val="20"/>
              </w:rPr>
            </w:pPr>
            <w:r w:rsidRPr="00F10029">
              <w:rPr>
                <w:rFonts w:cs="Times New Roman"/>
                <w:sz w:val="20"/>
                <w:szCs w:val="20"/>
              </w:rPr>
              <w:t>-0.0202</w:t>
            </w:r>
          </w:p>
        </w:tc>
        <w:tc>
          <w:tcPr>
            <w:tcW w:w="866" w:type="dxa"/>
            <w:vAlign w:val="center"/>
          </w:tcPr>
          <w:p w14:paraId="42CF6013" w14:textId="13AD3B77" w:rsidR="00E47FBB" w:rsidRPr="00F10029" w:rsidRDefault="00E47FBB" w:rsidP="00E47FBB">
            <w:pPr>
              <w:jc w:val="center"/>
              <w:rPr>
                <w:rFonts w:cs="Times New Roman"/>
                <w:bCs/>
                <w:sz w:val="20"/>
                <w:szCs w:val="20"/>
              </w:rPr>
            </w:pPr>
            <w:r w:rsidRPr="00F10029">
              <w:rPr>
                <w:rFonts w:cs="Times New Roman"/>
                <w:sz w:val="20"/>
                <w:szCs w:val="20"/>
              </w:rPr>
              <w:t>-1.4285</w:t>
            </w:r>
          </w:p>
        </w:tc>
        <w:tc>
          <w:tcPr>
            <w:tcW w:w="766" w:type="dxa"/>
            <w:vAlign w:val="center"/>
          </w:tcPr>
          <w:p w14:paraId="28A59C8F" w14:textId="77CF0258" w:rsidR="00E47FBB" w:rsidRPr="00F10029" w:rsidRDefault="00E47FBB" w:rsidP="00E47FBB">
            <w:pPr>
              <w:jc w:val="center"/>
              <w:rPr>
                <w:rFonts w:cs="Times New Roman"/>
                <w:bCs/>
                <w:sz w:val="20"/>
                <w:szCs w:val="20"/>
              </w:rPr>
            </w:pPr>
            <w:r w:rsidRPr="00F10029">
              <w:rPr>
                <w:rFonts w:cs="Times New Roman"/>
                <w:sz w:val="20"/>
                <w:szCs w:val="20"/>
              </w:rPr>
              <w:t>0.0875</w:t>
            </w:r>
          </w:p>
        </w:tc>
      </w:tr>
      <w:tr w:rsidR="00072552" w:rsidRPr="00F10029" w14:paraId="3B9D41D7" w14:textId="77777777" w:rsidTr="00072552">
        <w:tc>
          <w:tcPr>
            <w:tcW w:w="828" w:type="dxa"/>
            <w:vAlign w:val="center"/>
          </w:tcPr>
          <w:p w14:paraId="1CF539BC" w14:textId="5B99DA0F" w:rsidR="00E47FBB" w:rsidRPr="00F10029" w:rsidRDefault="00E47FBB" w:rsidP="00E47FBB">
            <w:pPr>
              <w:jc w:val="center"/>
              <w:rPr>
                <w:rFonts w:cs="Times New Roman"/>
                <w:bCs/>
                <w:sz w:val="20"/>
                <w:szCs w:val="20"/>
              </w:rPr>
            </w:pPr>
            <w:r w:rsidRPr="00F10029">
              <w:rPr>
                <w:rFonts w:cs="Times New Roman"/>
                <w:sz w:val="20"/>
                <w:szCs w:val="20"/>
              </w:rPr>
              <w:t>-1</w:t>
            </w:r>
          </w:p>
        </w:tc>
        <w:tc>
          <w:tcPr>
            <w:tcW w:w="832" w:type="dxa"/>
            <w:vAlign w:val="center"/>
          </w:tcPr>
          <w:p w14:paraId="06B493E1" w14:textId="384F6776" w:rsidR="00E47FBB" w:rsidRPr="00F10029" w:rsidRDefault="00E47FBB" w:rsidP="00E47FBB">
            <w:pPr>
              <w:jc w:val="center"/>
              <w:rPr>
                <w:rFonts w:cs="Times New Roman"/>
                <w:bCs/>
                <w:sz w:val="20"/>
                <w:szCs w:val="20"/>
              </w:rPr>
            </w:pPr>
            <w:r w:rsidRPr="00F10029">
              <w:rPr>
                <w:rFonts w:cs="Times New Roman"/>
                <w:sz w:val="20"/>
                <w:szCs w:val="20"/>
              </w:rPr>
              <w:t>-0.0610</w:t>
            </w:r>
          </w:p>
        </w:tc>
        <w:tc>
          <w:tcPr>
            <w:tcW w:w="841" w:type="dxa"/>
            <w:vAlign w:val="center"/>
          </w:tcPr>
          <w:p w14:paraId="5899C327" w14:textId="5940F6ED" w:rsidR="00E47FBB" w:rsidRPr="00F10029" w:rsidRDefault="00E47FBB" w:rsidP="00E47FBB">
            <w:pPr>
              <w:jc w:val="center"/>
              <w:rPr>
                <w:rFonts w:cs="Times New Roman"/>
                <w:bCs/>
                <w:sz w:val="20"/>
                <w:szCs w:val="20"/>
              </w:rPr>
            </w:pPr>
            <w:r w:rsidRPr="00F10029">
              <w:rPr>
                <w:rFonts w:cs="Times New Roman"/>
                <w:sz w:val="20"/>
                <w:szCs w:val="20"/>
              </w:rPr>
              <w:t>-3.0192</w:t>
            </w:r>
          </w:p>
        </w:tc>
        <w:tc>
          <w:tcPr>
            <w:tcW w:w="833" w:type="dxa"/>
            <w:vAlign w:val="center"/>
          </w:tcPr>
          <w:p w14:paraId="1DE093A6" w14:textId="2C4DD2DE" w:rsidR="00E47FBB" w:rsidRPr="00F10029" w:rsidRDefault="00E47FBB" w:rsidP="00E47FBB">
            <w:pPr>
              <w:jc w:val="center"/>
              <w:rPr>
                <w:rFonts w:cs="Times New Roman"/>
                <w:bCs/>
                <w:sz w:val="20"/>
                <w:szCs w:val="20"/>
              </w:rPr>
            </w:pPr>
            <w:r w:rsidRPr="00F10029">
              <w:rPr>
                <w:rFonts w:cs="Times New Roman"/>
                <w:sz w:val="20"/>
                <w:szCs w:val="20"/>
              </w:rPr>
              <w:t>0.0147</w:t>
            </w:r>
          </w:p>
        </w:tc>
        <w:tc>
          <w:tcPr>
            <w:tcW w:w="834" w:type="dxa"/>
            <w:vAlign w:val="center"/>
          </w:tcPr>
          <w:p w14:paraId="4B8D1109" w14:textId="409F5049" w:rsidR="00E47FBB" w:rsidRPr="00F10029" w:rsidRDefault="00E47FBB" w:rsidP="00E47FBB">
            <w:pPr>
              <w:jc w:val="center"/>
              <w:rPr>
                <w:rFonts w:cs="Times New Roman"/>
                <w:bCs/>
                <w:sz w:val="20"/>
                <w:szCs w:val="20"/>
              </w:rPr>
            </w:pPr>
            <w:r w:rsidRPr="00F10029">
              <w:rPr>
                <w:rFonts w:cs="Times New Roman"/>
                <w:sz w:val="20"/>
                <w:szCs w:val="20"/>
              </w:rPr>
              <w:t>-0.0422</w:t>
            </w:r>
          </w:p>
        </w:tc>
        <w:tc>
          <w:tcPr>
            <w:tcW w:w="936" w:type="dxa"/>
            <w:vAlign w:val="center"/>
          </w:tcPr>
          <w:p w14:paraId="7DD355EA" w14:textId="3AD7DEDB" w:rsidR="00E47FBB" w:rsidRPr="00F10029" w:rsidRDefault="00E47FBB" w:rsidP="00E47FBB">
            <w:pPr>
              <w:jc w:val="center"/>
              <w:rPr>
                <w:rFonts w:cs="Times New Roman"/>
                <w:bCs/>
                <w:sz w:val="20"/>
                <w:szCs w:val="20"/>
              </w:rPr>
            </w:pPr>
            <w:r w:rsidRPr="00F10029">
              <w:rPr>
                <w:rFonts w:cs="Times New Roman"/>
                <w:sz w:val="20"/>
                <w:szCs w:val="20"/>
              </w:rPr>
              <w:t>-1.9918</w:t>
            </w:r>
          </w:p>
        </w:tc>
        <w:tc>
          <w:tcPr>
            <w:tcW w:w="992" w:type="dxa"/>
            <w:vAlign w:val="center"/>
          </w:tcPr>
          <w:p w14:paraId="2F93F56F" w14:textId="068D4557" w:rsidR="00E47FBB" w:rsidRPr="00F10029" w:rsidRDefault="00E47FBB" w:rsidP="00E47FBB">
            <w:pPr>
              <w:jc w:val="center"/>
              <w:rPr>
                <w:rFonts w:cs="Times New Roman"/>
                <w:bCs/>
                <w:sz w:val="20"/>
                <w:szCs w:val="20"/>
              </w:rPr>
            </w:pPr>
            <w:r w:rsidRPr="00F10029">
              <w:rPr>
                <w:rFonts w:cs="Times New Roman"/>
                <w:sz w:val="20"/>
                <w:szCs w:val="20"/>
              </w:rPr>
              <w:t>0.0372</w:t>
            </w:r>
          </w:p>
        </w:tc>
        <w:tc>
          <w:tcPr>
            <w:tcW w:w="992" w:type="dxa"/>
            <w:vAlign w:val="center"/>
          </w:tcPr>
          <w:p w14:paraId="5A3B6DE0" w14:textId="74A9BC8C" w:rsidR="00E47FBB" w:rsidRPr="00F10029" w:rsidRDefault="00E47FBB" w:rsidP="00E47FBB">
            <w:pPr>
              <w:jc w:val="center"/>
              <w:rPr>
                <w:rFonts w:cs="Times New Roman"/>
                <w:bCs/>
                <w:sz w:val="20"/>
                <w:szCs w:val="20"/>
              </w:rPr>
            </w:pPr>
            <w:r w:rsidRPr="00F10029">
              <w:rPr>
                <w:rFonts w:cs="Times New Roman"/>
                <w:sz w:val="20"/>
                <w:szCs w:val="20"/>
              </w:rPr>
              <w:t>-0.0196</w:t>
            </w:r>
          </w:p>
        </w:tc>
        <w:tc>
          <w:tcPr>
            <w:tcW w:w="941" w:type="dxa"/>
            <w:vAlign w:val="center"/>
          </w:tcPr>
          <w:p w14:paraId="34F32050" w14:textId="2EB32B90" w:rsidR="00E47FBB" w:rsidRPr="00F10029" w:rsidRDefault="00E47FBB" w:rsidP="00E47FBB">
            <w:pPr>
              <w:jc w:val="center"/>
              <w:rPr>
                <w:rFonts w:cs="Times New Roman"/>
                <w:bCs/>
                <w:sz w:val="20"/>
                <w:szCs w:val="20"/>
              </w:rPr>
            </w:pPr>
            <w:r w:rsidRPr="00F10029">
              <w:rPr>
                <w:rFonts w:cs="Times New Roman"/>
                <w:sz w:val="20"/>
                <w:szCs w:val="20"/>
              </w:rPr>
              <w:t>-0.6513</w:t>
            </w:r>
          </w:p>
        </w:tc>
        <w:tc>
          <w:tcPr>
            <w:tcW w:w="772" w:type="dxa"/>
            <w:vAlign w:val="center"/>
          </w:tcPr>
          <w:p w14:paraId="6E2B7327" w14:textId="2A9B11F3" w:rsidR="00E47FBB" w:rsidRPr="00F10029" w:rsidRDefault="00E47FBB" w:rsidP="00E47FBB">
            <w:pPr>
              <w:jc w:val="center"/>
              <w:rPr>
                <w:rFonts w:cs="Times New Roman"/>
                <w:bCs/>
                <w:sz w:val="20"/>
                <w:szCs w:val="20"/>
              </w:rPr>
            </w:pPr>
            <w:r w:rsidRPr="00F10029">
              <w:rPr>
                <w:rFonts w:cs="Times New Roman"/>
                <w:sz w:val="20"/>
                <w:szCs w:val="20"/>
              </w:rPr>
              <w:t>0.2752</w:t>
            </w:r>
          </w:p>
        </w:tc>
        <w:tc>
          <w:tcPr>
            <w:tcW w:w="766" w:type="dxa"/>
            <w:vAlign w:val="center"/>
          </w:tcPr>
          <w:p w14:paraId="13ED940F" w14:textId="1A0C5A91" w:rsidR="00E47FBB" w:rsidRPr="00F10029" w:rsidRDefault="00E47FBB" w:rsidP="00E47FBB">
            <w:pPr>
              <w:jc w:val="center"/>
              <w:rPr>
                <w:rFonts w:cs="Times New Roman"/>
                <w:bCs/>
                <w:sz w:val="20"/>
                <w:szCs w:val="20"/>
              </w:rPr>
            </w:pPr>
            <w:r w:rsidRPr="00F10029">
              <w:rPr>
                <w:rFonts w:cs="Times New Roman"/>
                <w:sz w:val="20"/>
                <w:szCs w:val="20"/>
              </w:rPr>
              <w:t>-0.0202</w:t>
            </w:r>
          </w:p>
        </w:tc>
        <w:tc>
          <w:tcPr>
            <w:tcW w:w="866" w:type="dxa"/>
            <w:vAlign w:val="center"/>
          </w:tcPr>
          <w:p w14:paraId="1C55C4B7" w14:textId="66FB247F" w:rsidR="00E47FBB" w:rsidRPr="00F10029" w:rsidRDefault="00E47FBB" w:rsidP="00E47FBB">
            <w:pPr>
              <w:jc w:val="center"/>
              <w:rPr>
                <w:rFonts w:cs="Times New Roman"/>
                <w:bCs/>
                <w:sz w:val="20"/>
                <w:szCs w:val="20"/>
              </w:rPr>
            </w:pPr>
            <w:r w:rsidRPr="00F10029">
              <w:rPr>
                <w:rFonts w:cs="Times New Roman"/>
                <w:sz w:val="20"/>
                <w:szCs w:val="20"/>
              </w:rPr>
              <w:t>-1.4981</w:t>
            </w:r>
          </w:p>
        </w:tc>
        <w:tc>
          <w:tcPr>
            <w:tcW w:w="766" w:type="dxa"/>
            <w:vAlign w:val="center"/>
          </w:tcPr>
          <w:p w14:paraId="21685BFA" w14:textId="4BB40257" w:rsidR="00E47FBB" w:rsidRPr="00F10029" w:rsidRDefault="00E47FBB" w:rsidP="00E47FBB">
            <w:pPr>
              <w:jc w:val="center"/>
              <w:rPr>
                <w:rFonts w:cs="Times New Roman"/>
                <w:bCs/>
                <w:sz w:val="20"/>
                <w:szCs w:val="20"/>
              </w:rPr>
            </w:pPr>
            <w:r w:rsidRPr="00F10029">
              <w:rPr>
                <w:rFonts w:cs="Times New Roman"/>
                <w:sz w:val="20"/>
                <w:szCs w:val="20"/>
              </w:rPr>
              <w:t>0.0782</w:t>
            </w:r>
          </w:p>
        </w:tc>
      </w:tr>
      <w:tr w:rsidR="00072552" w:rsidRPr="00F10029" w14:paraId="12B91CC1" w14:textId="77777777" w:rsidTr="00072552">
        <w:tc>
          <w:tcPr>
            <w:tcW w:w="828" w:type="dxa"/>
            <w:vAlign w:val="center"/>
          </w:tcPr>
          <w:p w14:paraId="1AF39B8A" w14:textId="53CA9427" w:rsidR="00E47FBB" w:rsidRPr="00F10029" w:rsidRDefault="00E47FBB" w:rsidP="00E47FBB">
            <w:pPr>
              <w:jc w:val="center"/>
              <w:rPr>
                <w:rFonts w:cs="Times New Roman"/>
                <w:bCs/>
                <w:sz w:val="20"/>
                <w:szCs w:val="20"/>
              </w:rPr>
            </w:pPr>
            <w:r w:rsidRPr="00F10029">
              <w:rPr>
                <w:rFonts w:cs="Times New Roman"/>
                <w:sz w:val="20"/>
                <w:szCs w:val="20"/>
              </w:rPr>
              <w:t>0</w:t>
            </w:r>
          </w:p>
        </w:tc>
        <w:tc>
          <w:tcPr>
            <w:tcW w:w="832" w:type="dxa"/>
            <w:vAlign w:val="center"/>
          </w:tcPr>
          <w:p w14:paraId="0EA2CD16" w14:textId="1DA28020" w:rsidR="00E47FBB" w:rsidRPr="00F10029" w:rsidRDefault="00E47FBB" w:rsidP="00E47FBB">
            <w:pPr>
              <w:jc w:val="center"/>
              <w:rPr>
                <w:rFonts w:cs="Times New Roman"/>
                <w:bCs/>
                <w:sz w:val="20"/>
                <w:szCs w:val="20"/>
              </w:rPr>
            </w:pPr>
            <w:r w:rsidRPr="00F10029">
              <w:rPr>
                <w:rFonts w:cs="Times New Roman"/>
                <w:sz w:val="20"/>
                <w:szCs w:val="20"/>
              </w:rPr>
              <w:t>0.0543</w:t>
            </w:r>
          </w:p>
        </w:tc>
        <w:tc>
          <w:tcPr>
            <w:tcW w:w="841" w:type="dxa"/>
            <w:vAlign w:val="center"/>
          </w:tcPr>
          <w:p w14:paraId="16A27134" w14:textId="7E1A0AF0" w:rsidR="00E47FBB" w:rsidRPr="00F10029" w:rsidRDefault="00E47FBB" w:rsidP="00E47FBB">
            <w:pPr>
              <w:jc w:val="center"/>
              <w:rPr>
                <w:rFonts w:cs="Times New Roman"/>
                <w:bCs/>
                <w:sz w:val="20"/>
                <w:szCs w:val="20"/>
              </w:rPr>
            </w:pPr>
            <w:r w:rsidRPr="00F10029">
              <w:rPr>
                <w:rFonts w:cs="Times New Roman"/>
                <w:sz w:val="20"/>
                <w:szCs w:val="20"/>
              </w:rPr>
              <w:t>1.3189</w:t>
            </w:r>
          </w:p>
        </w:tc>
        <w:tc>
          <w:tcPr>
            <w:tcW w:w="833" w:type="dxa"/>
            <w:vAlign w:val="center"/>
          </w:tcPr>
          <w:p w14:paraId="70DD91CF" w14:textId="482285AF" w:rsidR="00E47FBB" w:rsidRPr="00F10029" w:rsidRDefault="00E47FBB" w:rsidP="00E47FBB">
            <w:pPr>
              <w:jc w:val="center"/>
              <w:rPr>
                <w:rFonts w:cs="Times New Roman"/>
                <w:bCs/>
                <w:sz w:val="20"/>
                <w:szCs w:val="20"/>
              </w:rPr>
            </w:pPr>
            <w:r w:rsidRPr="00F10029">
              <w:rPr>
                <w:rFonts w:cs="Times New Roman"/>
                <w:sz w:val="20"/>
                <w:szCs w:val="20"/>
              </w:rPr>
              <w:t>0.1222</w:t>
            </w:r>
          </w:p>
        </w:tc>
        <w:tc>
          <w:tcPr>
            <w:tcW w:w="834" w:type="dxa"/>
            <w:vAlign w:val="center"/>
          </w:tcPr>
          <w:p w14:paraId="7F2F9BB2" w14:textId="6F6F6503" w:rsidR="00E47FBB" w:rsidRPr="00F10029" w:rsidRDefault="00E47FBB" w:rsidP="00E47FBB">
            <w:pPr>
              <w:jc w:val="center"/>
              <w:rPr>
                <w:rFonts w:cs="Times New Roman"/>
                <w:bCs/>
                <w:sz w:val="20"/>
                <w:szCs w:val="20"/>
              </w:rPr>
            </w:pPr>
            <w:r w:rsidRPr="00F10029">
              <w:rPr>
                <w:rFonts w:cs="Times New Roman"/>
                <w:sz w:val="20"/>
                <w:szCs w:val="20"/>
              </w:rPr>
              <w:t>-0.0225</w:t>
            </w:r>
          </w:p>
        </w:tc>
        <w:tc>
          <w:tcPr>
            <w:tcW w:w="936" w:type="dxa"/>
            <w:vAlign w:val="center"/>
          </w:tcPr>
          <w:p w14:paraId="6074F246" w14:textId="1F830726" w:rsidR="00E47FBB" w:rsidRPr="00F10029" w:rsidRDefault="00E47FBB" w:rsidP="00E47FBB">
            <w:pPr>
              <w:jc w:val="center"/>
              <w:rPr>
                <w:rFonts w:cs="Times New Roman"/>
                <w:bCs/>
                <w:sz w:val="20"/>
                <w:szCs w:val="20"/>
              </w:rPr>
            </w:pPr>
            <w:r w:rsidRPr="00F10029">
              <w:rPr>
                <w:rFonts w:cs="Times New Roman"/>
                <w:sz w:val="20"/>
                <w:szCs w:val="20"/>
              </w:rPr>
              <w:t>-1.8090</w:t>
            </w:r>
          </w:p>
        </w:tc>
        <w:tc>
          <w:tcPr>
            <w:tcW w:w="992" w:type="dxa"/>
            <w:vAlign w:val="center"/>
          </w:tcPr>
          <w:p w14:paraId="017F55F4" w14:textId="00B5F561" w:rsidR="00E47FBB" w:rsidRPr="00F10029" w:rsidRDefault="00E47FBB" w:rsidP="00E47FBB">
            <w:pPr>
              <w:jc w:val="center"/>
              <w:rPr>
                <w:rFonts w:cs="Times New Roman"/>
                <w:bCs/>
                <w:sz w:val="20"/>
                <w:szCs w:val="20"/>
              </w:rPr>
            </w:pPr>
            <w:r w:rsidRPr="00F10029">
              <w:rPr>
                <w:rFonts w:cs="Times New Roman"/>
                <w:sz w:val="20"/>
                <w:szCs w:val="20"/>
              </w:rPr>
              <w:t>0.0503</w:t>
            </w:r>
          </w:p>
        </w:tc>
        <w:tc>
          <w:tcPr>
            <w:tcW w:w="992" w:type="dxa"/>
            <w:vAlign w:val="center"/>
          </w:tcPr>
          <w:p w14:paraId="0D11220C" w14:textId="5F934308" w:rsidR="00E47FBB" w:rsidRPr="00F10029" w:rsidRDefault="00E47FBB" w:rsidP="00E47FBB">
            <w:pPr>
              <w:jc w:val="center"/>
              <w:rPr>
                <w:rFonts w:cs="Times New Roman"/>
                <w:bCs/>
                <w:sz w:val="20"/>
                <w:szCs w:val="20"/>
              </w:rPr>
            </w:pPr>
            <w:r w:rsidRPr="00F10029">
              <w:rPr>
                <w:rFonts w:cs="Times New Roman"/>
                <w:sz w:val="20"/>
                <w:szCs w:val="20"/>
              </w:rPr>
              <w:t>-0.0081</w:t>
            </w:r>
          </w:p>
        </w:tc>
        <w:tc>
          <w:tcPr>
            <w:tcW w:w="941" w:type="dxa"/>
            <w:vAlign w:val="center"/>
          </w:tcPr>
          <w:p w14:paraId="6553E6DF" w14:textId="2F7F7DF9" w:rsidR="00E47FBB" w:rsidRPr="00F10029" w:rsidRDefault="00E47FBB" w:rsidP="00E47FBB">
            <w:pPr>
              <w:jc w:val="center"/>
              <w:rPr>
                <w:rFonts w:cs="Times New Roman"/>
                <w:bCs/>
                <w:sz w:val="20"/>
                <w:szCs w:val="20"/>
              </w:rPr>
            </w:pPr>
            <w:r w:rsidRPr="00F10029">
              <w:rPr>
                <w:rFonts w:cs="Times New Roman"/>
                <w:sz w:val="20"/>
                <w:szCs w:val="20"/>
              </w:rPr>
              <w:t>-0.8112</w:t>
            </w:r>
          </w:p>
        </w:tc>
        <w:tc>
          <w:tcPr>
            <w:tcW w:w="772" w:type="dxa"/>
            <w:vAlign w:val="center"/>
          </w:tcPr>
          <w:p w14:paraId="5ECCED69" w14:textId="49108642" w:rsidR="00E47FBB" w:rsidRPr="00F10029" w:rsidRDefault="00E47FBB" w:rsidP="00E47FBB">
            <w:pPr>
              <w:jc w:val="center"/>
              <w:rPr>
                <w:rFonts w:cs="Times New Roman"/>
                <w:bCs/>
                <w:sz w:val="20"/>
                <w:szCs w:val="20"/>
              </w:rPr>
            </w:pPr>
            <w:r w:rsidRPr="00F10029">
              <w:rPr>
                <w:rFonts w:cs="Times New Roman"/>
                <w:sz w:val="20"/>
                <w:szCs w:val="20"/>
              </w:rPr>
              <w:t>0.2314</w:t>
            </w:r>
          </w:p>
        </w:tc>
        <w:tc>
          <w:tcPr>
            <w:tcW w:w="766" w:type="dxa"/>
            <w:vAlign w:val="center"/>
          </w:tcPr>
          <w:p w14:paraId="76BCC8FB" w14:textId="19FB72C9" w:rsidR="00E47FBB" w:rsidRPr="00F10029" w:rsidRDefault="00E47FBB" w:rsidP="00E47FBB">
            <w:pPr>
              <w:jc w:val="center"/>
              <w:rPr>
                <w:rFonts w:cs="Times New Roman"/>
                <w:bCs/>
                <w:sz w:val="20"/>
                <w:szCs w:val="20"/>
              </w:rPr>
            </w:pPr>
            <w:r w:rsidRPr="00F10029">
              <w:rPr>
                <w:rFonts w:cs="Times New Roman"/>
                <w:sz w:val="20"/>
                <w:szCs w:val="20"/>
              </w:rPr>
              <w:t>0.0042</w:t>
            </w:r>
          </w:p>
        </w:tc>
        <w:tc>
          <w:tcPr>
            <w:tcW w:w="866" w:type="dxa"/>
            <w:vAlign w:val="center"/>
          </w:tcPr>
          <w:p w14:paraId="43773E58" w14:textId="5E6F5692" w:rsidR="00E47FBB" w:rsidRPr="00F10029" w:rsidRDefault="00E47FBB" w:rsidP="00E47FBB">
            <w:pPr>
              <w:jc w:val="center"/>
              <w:rPr>
                <w:rFonts w:cs="Times New Roman"/>
                <w:bCs/>
                <w:sz w:val="20"/>
                <w:szCs w:val="20"/>
              </w:rPr>
            </w:pPr>
            <w:r w:rsidRPr="00F10029">
              <w:rPr>
                <w:rFonts w:cs="Times New Roman"/>
                <w:sz w:val="20"/>
                <w:szCs w:val="20"/>
              </w:rPr>
              <w:t>0.3191</w:t>
            </w:r>
          </w:p>
        </w:tc>
        <w:tc>
          <w:tcPr>
            <w:tcW w:w="766" w:type="dxa"/>
            <w:vAlign w:val="center"/>
          </w:tcPr>
          <w:p w14:paraId="509F84DE" w14:textId="7058F8CD" w:rsidR="00E47FBB" w:rsidRPr="00F10029" w:rsidRDefault="00E47FBB" w:rsidP="00E47FBB">
            <w:pPr>
              <w:jc w:val="center"/>
              <w:rPr>
                <w:rFonts w:cs="Times New Roman"/>
                <w:bCs/>
                <w:sz w:val="20"/>
                <w:szCs w:val="20"/>
              </w:rPr>
            </w:pPr>
            <w:r w:rsidRPr="00F10029">
              <w:rPr>
                <w:rFonts w:cs="Times New Roman"/>
                <w:sz w:val="20"/>
                <w:szCs w:val="20"/>
              </w:rPr>
              <w:t>0.3772</w:t>
            </w:r>
          </w:p>
        </w:tc>
      </w:tr>
      <w:tr w:rsidR="00072552" w:rsidRPr="00F10029" w14:paraId="34258534" w14:textId="77777777" w:rsidTr="00072552">
        <w:tc>
          <w:tcPr>
            <w:tcW w:w="828" w:type="dxa"/>
            <w:vAlign w:val="center"/>
          </w:tcPr>
          <w:p w14:paraId="6290E55D" w14:textId="204DC18B" w:rsidR="00E47FBB" w:rsidRPr="00F10029" w:rsidRDefault="00E47FBB" w:rsidP="00E47FBB">
            <w:pPr>
              <w:jc w:val="center"/>
              <w:rPr>
                <w:rFonts w:cs="Times New Roman"/>
                <w:bCs/>
                <w:sz w:val="20"/>
                <w:szCs w:val="20"/>
              </w:rPr>
            </w:pPr>
            <w:r w:rsidRPr="00F10029">
              <w:rPr>
                <w:rFonts w:cs="Times New Roman"/>
                <w:sz w:val="20"/>
                <w:szCs w:val="20"/>
              </w:rPr>
              <w:t>1</w:t>
            </w:r>
          </w:p>
        </w:tc>
        <w:tc>
          <w:tcPr>
            <w:tcW w:w="832" w:type="dxa"/>
            <w:vAlign w:val="center"/>
          </w:tcPr>
          <w:p w14:paraId="6BBC0509" w14:textId="6206A8B7" w:rsidR="00E47FBB" w:rsidRPr="00F10029" w:rsidRDefault="00E47FBB" w:rsidP="00E47FBB">
            <w:pPr>
              <w:jc w:val="center"/>
              <w:rPr>
                <w:rFonts w:cs="Times New Roman"/>
                <w:bCs/>
                <w:sz w:val="20"/>
                <w:szCs w:val="20"/>
              </w:rPr>
            </w:pPr>
            <w:r w:rsidRPr="00F10029">
              <w:rPr>
                <w:rFonts w:cs="Times New Roman"/>
                <w:sz w:val="20"/>
                <w:szCs w:val="20"/>
              </w:rPr>
              <w:t>0.0797</w:t>
            </w:r>
          </w:p>
        </w:tc>
        <w:tc>
          <w:tcPr>
            <w:tcW w:w="841" w:type="dxa"/>
            <w:vAlign w:val="center"/>
          </w:tcPr>
          <w:p w14:paraId="271A2BD3" w14:textId="34836FAA" w:rsidR="00E47FBB" w:rsidRPr="00F10029" w:rsidRDefault="00E47FBB" w:rsidP="00E47FBB">
            <w:pPr>
              <w:jc w:val="center"/>
              <w:rPr>
                <w:rFonts w:cs="Times New Roman"/>
                <w:bCs/>
                <w:sz w:val="20"/>
                <w:szCs w:val="20"/>
              </w:rPr>
            </w:pPr>
            <w:r w:rsidRPr="00F10029">
              <w:rPr>
                <w:rFonts w:cs="Times New Roman"/>
                <w:sz w:val="20"/>
                <w:szCs w:val="20"/>
              </w:rPr>
              <w:t>2.0628</w:t>
            </w:r>
          </w:p>
        </w:tc>
        <w:tc>
          <w:tcPr>
            <w:tcW w:w="833" w:type="dxa"/>
            <w:vAlign w:val="center"/>
          </w:tcPr>
          <w:p w14:paraId="320FF361" w14:textId="315F97EA" w:rsidR="00E47FBB" w:rsidRPr="00F10029" w:rsidRDefault="00E47FBB" w:rsidP="00E47FBB">
            <w:pPr>
              <w:jc w:val="center"/>
              <w:rPr>
                <w:rFonts w:cs="Times New Roman"/>
                <w:bCs/>
                <w:sz w:val="20"/>
                <w:szCs w:val="20"/>
              </w:rPr>
            </w:pPr>
            <w:r w:rsidRPr="00F10029">
              <w:rPr>
                <w:rFonts w:cs="Times New Roman"/>
                <w:sz w:val="20"/>
                <w:szCs w:val="20"/>
              </w:rPr>
              <w:t>0.0471</w:t>
            </w:r>
          </w:p>
        </w:tc>
        <w:tc>
          <w:tcPr>
            <w:tcW w:w="834" w:type="dxa"/>
            <w:vAlign w:val="center"/>
          </w:tcPr>
          <w:p w14:paraId="28F88CC8" w14:textId="3B53A69A" w:rsidR="00E47FBB" w:rsidRPr="00F10029" w:rsidRDefault="00E47FBB" w:rsidP="00E47FBB">
            <w:pPr>
              <w:jc w:val="center"/>
              <w:rPr>
                <w:rFonts w:cs="Times New Roman"/>
                <w:bCs/>
                <w:sz w:val="20"/>
                <w:szCs w:val="20"/>
              </w:rPr>
            </w:pPr>
            <w:r w:rsidRPr="00F10029">
              <w:rPr>
                <w:rFonts w:cs="Times New Roman"/>
                <w:sz w:val="20"/>
                <w:szCs w:val="20"/>
              </w:rPr>
              <w:t>0.0689</w:t>
            </w:r>
          </w:p>
        </w:tc>
        <w:tc>
          <w:tcPr>
            <w:tcW w:w="936" w:type="dxa"/>
            <w:vAlign w:val="center"/>
          </w:tcPr>
          <w:p w14:paraId="623DA581" w14:textId="132B3D70" w:rsidR="00E47FBB" w:rsidRPr="00F10029" w:rsidRDefault="00E47FBB" w:rsidP="00E47FBB">
            <w:pPr>
              <w:jc w:val="center"/>
              <w:rPr>
                <w:rFonts w:cs="Times New Roman"/>
                <w:bCs/>
                <w:sz w:val="20"/>
                <w:szCs w:val="20"/>
              </w:rPr>
            </w:pPr>
            <w:r w:rsidRPr="00F10029">
              <w:rPr>
                <w:rFonts w:cs="Times New Roman"/>
                <w:sz w:val="20"/>
                <w:szCs w:val="20"/>
              </w:rPr>
              <w:t>2.3358</w:t>
            </w:r>
          </w:p>
        </w:tc>
        <w:tc>
          <w:tcPr>
            <w:tcW w:w="992" w:type="dxa"/>
            <w:vAlign w:val="center"/>
          </w:tcPr>
          <w:p w14:paraId="72031F53" w14:textId="7CE09CD8" w:rsidR="00E47FBB" w:rsidRPr="00F10029" w:rsidRDefault="00E47FBB" w:rsidP="00E47FBB">
            <w:pPr>
              <w:jc w:val="center"/>
              <w:rPr>
                <w:rFonts w:cs="Times New Roman"/>
                <w:bCs/>
                <w:sz w:val="20"/>
                <w:szCs w:val="20"/>
              </w:rPr>
            </w:pPr>
            <w:r w:rsidRPr="00F10029">
              <w:rPr>
                <w:rFonts w:cs="Times New Roman"/>
                <w:sz w:val="20"/>
                <w:szCs w:val="20"/>
              </w:rPr>
              <w:t>0.0208</w:t>
            </w:r>
          </w:p>
        </w:tc>
        <w:tc>
          <w:tcPr>
            <w:tcW w:w="992" w:type="dxa"/>
            <w:vAlign w:val="center"/>
          </w:tcPr>
          <w:p w14:paraId="7CD5AEB5" w14:textId="4FEDFC49" w:rsidR="00E47FBB" w:rsidRPr="00F10029" w:rsidRDefault="00E47FBB" w:rsidP="00E47FBB">
            <w:pPr>
              <w:jc w:val="center"/>
              <w:rPr>
                <w:rFonts w:cs="Times New Roman"/>
                <w:bCs/>
                <w:sz w:val="20"/>
                <w:szCs w:val="20"/>
              </w:rPr>
            </w:pPr>
            <w:r w:rsidRPr="00F10029">
              <w:rPr>
                <w:rFonts w:cs="Times New Roman"/>
                <w:sz w:val="20"/>
                <w:szCs w:val="20"/>
              </w:rPr>
              <w:t>0.0171</w:t>
            </w:r>
          </w:p>
        </w:tc>
        <w:tc>
          <w:tcPr>
            <w:tcW w:w="941" w:type="dxa"/>
            <w:vAlign w:val="center"/>
          </w:tcPr>
          <w:p w14:paraId="2C9C43D3" w14:textId="77F4530F" w:rsidR="00E47FBB" w:rsidRPr="00F10029" w:rsidRDefault="00E47FBB" w:rsidP="00E47FBB">
            <w:pPr>
              <w:jc w:val="center"/>
              <w:rPr>
                <w:rFonts w:cs="Times New Roman"/>
                <w:bCs/>
                <w:sz w:val="20"/>
                <w:szCs w:val="20"/>
              </w:rPr>
            </w:pPr>
            <w:r w:rsidRPr="00F10029">
              <w:rPr>
                <w:rFonts w:cs="Times New Roman"/>
                <w:sz w:val="20"/>
                <w:szCs w:val="20"/>
              </w:rPr>
              <w:t>1.1576</w:t>
            </w:r>
          </w:p>
        </w:tc>
        <w:tc>
          <w:tcPr>
            <w:tcW w:w="772" w:type="dxa"/>
            <w:vAlign w:val="center"/>
          </w:tcPr>
          <w:p w14:paraId="01E2C90D" w14:textId="73235EC8" w:rsidR="00E47FBB" w:rsidRPr="00F10029" w:rsidRDefault="00E47FBB" w:rsidP="00E47FBB">
            <w:pPr>
              <w:jc w:val="center"/>
              <w:rPr>
                <w:rFonts w:cs="Times New Roman"/>
                <w:bCs/>
                <w:sz w:val="20"/>
                <w:szCs w:val="20"/>
              </w:rPr>
            </w:pPr>
            <w:r w:rsidRPr="00F10029">
              <w:rPr>
                <w:rFonts w:cs="Times New Roman"/>
                <w:sz w:val="20"/>
                <w:szCs w:val="20"/>
              </w:rPr>
              <w:t>0.1557</w:t>
            </w:r>
          </w:p>
        </w:tc>
        <w:tc>
          <w:tcPr>
            <w:tcW w:w="766" w:type="dxa"/>
            <w:vAlign w:val="center"/>
          </w:tcPr>
          <w:p w14:paraId="7447B190" w14:textId="2EF81412" w:rsidR="00E47FBB" w:rsidRPr="00F10029" w:rsidRDefault="00E47FBB" w:rsidP="00E47FBB">
            <w:pPr>
              <w:jc w:val="center"/>
              <w:rPr>
                <w:rFonts w:cs="Times New Roman"/>
                <w:bCs/>
                <w:sz w:val="20"/>
                <w:szCs w:val="20"/>
              </w:rPr>
            </w:pPr>
            <w:r w:rsidRPr="00F10029">
              <w:rPr>
                <w:rFonts w:cs="Times New Roman"/>
                <w:sz w:val="20"/>
                <w:szCs w:val="20"/>
              </w:rPr>
              <w:t>0.0277</w:t>
            </w:r>
          </w:p>
        </w:tc>
        <w:tc>
          <w:tcPr>
            <w:tcW w:w="866" w:type="dxa"/>
            <w:vAlign w:val="center"/>
          </w:tcPr>
          <w:p w14:paraId="7D73EA35" w14:textId="7E26C24A" w:rsidR="00E47FBB" w:rsidRPr="00F10029" w:rsidRDefault="00E47FBB" w:rsidP="00E47FBB">
            <w:pPr>
              <w:jc w:val="center"/>
              <w:rPr>
                <w:rFonts w:cs="Times New Roman"/>
                <w:bCs/>
                <w:sz w:val="20"/>
                <w:szCs w:val="20"/>
              </w:rPr>
            </w:pPr>
            <w:r w:rsidRPr="00F10029">
              <w:rPr>
                <w:rFonts w:cs="Times New Roman"/>
                <w:sz w:val="20"/>
                <w:szCs w:val="20"/>
              </w:rPr>
              <w:t>2.9329</w:t>
            </w:r>
          </w:p>
        </w:tc>
        <w:tc>
          <w:tcPr>
            <w:tcW w:w="766" w:type="dxa"/>
            <w:vAlign w:val="center"/>
          </w:tcPr>
          <w:p w14:paraId="62ECDEA0" w14:textId="2FF8833A" w:rsidR="00E47FBB" w:rsidRPr="00F10029" w:rsidRDefault="00E47FBB" w:rsidP="00E47FBB">
            <w:pPr>
              <w:jc w:val="center"/>
              <w:rPr>
                <w:rFonts w:cs="Times New Roman"/>
                <w:bCs/>
                <w:sz w:val="20"/>
                <w:szCs w:val="20"/>
              </w:rPr>
            </w:pPr>
            <w:r w:rsidRPr="00F10029">
              <w:rPr>
                <w:rFonts w:cs="Times New Roman"/>
                <w:sz w:val="20"/>
                <w:szCs w:val="20"/>
              </w:rPr>
              <w:t>0.0055</w:t>
            </w:r>
          </w:p>
        </w:tc>
      </w:tr>
      <w:tr w:rsidR="00072552" w:rsidRPr="00F10029" w14:paraId="2FAD45AA" w14:textId="77777777" w:rsidTr="00072552">
        <w:tc>
          <w:tcPr>
            <w:tcW w:w="828" w:type="dxa"/>
            <w:vAlign w:val="center"/>
          </w:tcPr>
          <w:p w14:paraId="1E73F701" w14:textId="6BCF02BD" w:rsidR="00E47FBB" w:rsidRPr="00F10029" w:rsidRDefault="00E47FBB" w:rsidP="00E47FBB">
            <w:pPr>
              <w:jc w:val="center"/>
              <w:rPr>
                <w:rFonts w:cs="Times New Roman"/>
                <w:bCs/>
                <w:sz w:val="20"/>
                <w:szCs w:val="20"/>
              </w:rPr>
            </w:pPr>
            <w:r w:rsidRPr="00F10029">
              <w:rPr>
                <w:rFonts w:cs="Times New Roman"/>
                <w:sz w:val="20"/>
                <w:szCs w:val="20"/>
              </w:rPr>
              <w:t>2</w:t>
            </w:r>
          </w:p>
        </w:tc>
        <w:tc>
          <w:tcPr>
            <w:tcW w:w="832" w:type="dxa"/>
            <w:vAlign w:val="center"/>
          </w:tcPr>
          <w:p w14:paraId="61D7B668" w14:textId="7FA8EF1D" w:rsidR="00E47FBB" w:rsidRPr="00F10029" w:rsidRDefault="00E47FBB" w:rsidP="00E47FBB">
            <w:pPr>
              <w:jc w:val="center"/>
              <w:rPr>
                <w:rFonts w:cs="Times New Roman"/>
                <w:bCs/>
                <w:sz w:val="20"/>
                <w:szCs w:val="20"/>
              </w:rPr>
            </w:pPr>
            <w:r w:rsidRPr="00F10029">
              <w:rPr>
                <w:rFonts w:cs="Times New Roman"/>
                <w:sz w:val="20"/>
                <w:szCs w:val="20"/>
              </w:rPr>
              <w:t>0.0319</w:t>
            </w:r>
          </w:p>
        </w:tc>
        <w:tc>
          <w:tcPr>
            <w:tcW w:w="841" w:type="dxa"/>
            <w:vAlign w:val="center"/>
          </w:tcPr>
          <w:p w14:paraId="2B7D93D7" w14:textId="0EEA1F74" w:rsidR="00E47FBB" w:rsidRPr="00F10029" w:rsidRDefault="00E47FBB" w:rsidP="00E47FBB">
            <w:pPr>
              <w:jc w:val="center"/>
              <w:rPr>
                <w:rFonts w:cs="Times New Roman"/>
                <w:bCs/>
                <w:sz w:val="20"/>
                <w:szCs w:val="20"/>
              </w:rPr>
            </w:pPr>
            <w:r w:rsidRPr="00F10029">
              <w:rPr>
                <w:rFonts w:cs="Times New Roman"/>
                <w:sz w:val="20"/>
                <w:szCs w:val="20"/>
              </w:rPr>
              <w:t>2.3279</w:t>
            </w:r>
          </w:p>
        </w:tc>
        <w:tc>
          <w:tcPr>
            <w:tcW w:w="833" w:type="dxa"/>
            <w:vAlign w:val="center"/>
          </w:tcPr>
          <w:p w14:paraId="0B9D73B4" w14:textId="46C5589E" w:rsidR="00E47FBB" w:rsidRPr="00F10029" w:rsidRDefault="00E47FBB" w:rsidP="00E47FBB">
            <w:pPr>
              <w:jc w:val="center"/>
              <w:rPr>
                <w:rFonts w:cs="Times New Roman"/>
                <w:bCs/>
                <w:sz w:val="20"/>
                <w:szCs w:val="20"/>
              </w:rPr>
            </w:pPr>
            <w:r w:rsidRPr="00F10029">
              <w:rPr>
                <w:rFonts w:cs="Times New Roman"/>
                <w:sz w:val="20"/>
                <w:szCs w:val="20"/>
              </w:rPr>
              <w:t>0.0337</w:t>
            </w:r>
          </w:p>
        </w:tc>
        <w:tc>
          <w:tcPr>
            <w:tcW w:w="834" w:type="dxa"/>
            <w:vAlign w:val="center"/>
          </w:tcPr>
          <w:p w14:paraId="326C76A4" w14:textId="1BE57713" w:rsidR="00E47FBB" w:rsidRPr="00F10029" w:rsidRDefault="00E47FBB" w:rsidP="00E47FBB">
            <w:pPr>
              <w:jc w:val="center"/>
              <w:rPr>
                <w:rFonts w:cs="Times New Roman"/>
                <w:bCs/>
                <w:sz w:val="20"/>
                <w:szCs w:val="20"/>
              </w:rPr>
            </w:pPr>
            <w:r w:rsidRPr="00F10029">
              <w:rPr>
                <w:rFonts w:cs="Times New Roman"/>
                <w:sz w:val="20"/>
                <w:szCs w:val="20"/>
              </w:rPr>
              <w:t>0.0442</w:t>
            </w:r>
          </w:p>
        </w:tc>
        <w:tc>
          <w:tcPr>
            <w:tcW w:w="936" w:type="dxa"/>
            <w:vAlign w:val="center"/>
          </w:tcPr>
          <w:p w14:paraId="0610388A" w14:textId="4D15C6EE" w:rsidR="00E47FBB" w:rsidRPr="00F10029" w:rsidRDefault="00E47FBB" w:rsidP="00E47FBB">
            <w:pPr>
              <w:jc w:val="center"/>
              <w:rPr>
                <w:rFonts w:cs="Times New Roman"/>
                <w:bCs/>
                <w:sz w:val="20"/>
                <w:szCs w:val="20"/>
              </w:rPr>
            </w:pPr>
            <w:r w:rsidRPr="00F10029">
              <w:rPr>
                <w:rFonts w:cs="Times New Roman"/>
                <w:sz w:val="20"/>
                <w:szCs w:val="20"/>
              </w:rPr>
              <w:t>1.4614</w:t>
            </w:r>
          </w:p>
        </w:tc>
        <w:tc>
          <w:tcPr>
            <w:tcW w:w="992" w:type="dxa"/>
            <w:vAlign w:val="center"/>
          </w:tcPr>
          <w:p w14:paraId="3755BA22" w14:textId="577D66AF" w:rsidR="00E47FBB" w:rsidRPr="00F10029" w:rsidRDefault="00E47FBB" w:rsidP="00E47FBB">
            <w:pPr>
              <w:jc w:val="center"/>
              <w:rPr>
                <w:rFonts w:cs="Times New Roman"/>
                <w:bCs/>
                <w:sz w:val="20"/>
                <w:szCs w:val="20"/>
              </w:rPr>
            </w:pPr>
            <w:r w:rsidRPr="00F10029">
              <w:rPr>
                <w:rFonts w:cs="Times New Roman"/>
                <w:sz w:val="20"/>
                <w:szCs w:val="20"/>
              </w:rPr>
              <w:t>0.0689</w:t>
            </w:r>
          </w:p>
        </w:tc>
        <w:tc>
          <w:tcPr>
            <w:tcW w:w="992" w:type="dxa"/>
            <w:vAlign w:val="center"/>
          </w:tcPr>
          <w:p w14:paraId="6ED28670" w14:textId="00D939B2" w:rsidR="00E47FBB" w:rsidRPr="00F10029" w:rsidRDefault="00E47FBB" w:rsidP="00E47FBB">
            <w:pPr>
              <w:jc w:val="center"/>
              <w:rPr>
                <w:rFonts w:cs="Times New Roman"/>
                <w:bCs/>
                <w:sz w:val="20"/>
                <w:szCs w:val="20"/>
              </w:rPr>
            </w:pPr>
            <w:r w:rsidRPr="00F10029">
              <w:rPr>
                <w:rFonts w:cs="Times New Roman"/>
                <w:sz w:val="20"/>
                <w:szCs w:val="20"/>
              </w:rPr>
              <w:t>0.0185</w:t>
            </w:r>
          </w:p>
        </w:tc>
        <w:tc>
          <w:tcPr>
            <w:tcW w:w="941" w:type="dxa"/>
            <w:vAlign w:val="center"/>
          </w:tcPr>
          <w:p w14:paraId="1D7C5998" w14:textId="28870748" w:rsidR="00E47FBB" w:rsidRPr="00F10029" w:rsidRDefault="00E47FBB" w:rsidP="00E47FBB">
            <w:pPr>
              <w:jc w:val="center"/>
              <w:rPr>
                <w:rFonts w:cs="Times New Roman"/>
                <w:bCs/>
                <w:sz w:val="20"/>
                <w:szCs w:val="20"/>
              </w:rPr>
            </w:pPr>
            <w:r w:rsidRPr="00F10029">
              <w:rPr>
                <w:rFonts w:cs="Times New Roman"/>
                <w:sz w:val="20"/>
                <w:szCs w:val="20"/>
              </w:rPr>
              <w:t>1.1140</w:t>
            </w:r>
          </w:p>
        </w:tc>
        <w:tc>
          <w:tcPr>
            <w:tcW w:w="772" w:type="dxa"/>
            <w:vAlign w:val="center"/>
          </w:tcPr>
          <w:p w14:paraId="4685ED11" w14:textId="5F2F0FAD" w:rsidR="00E47FBB" w:rsidRPr="00F10029" w:rsidRDefault="00E47FBB" w:rsidP="00E47FBB">
            <w:pPr>
              <w:jc w:val="center"/>
              <w:rPr>
                <w:rFonts w:cs="Times New Roman"/>
                <w:bCs/>
                <w:sz w:val="20"/>
                <w:szCs w:val="20"/>
              </w:rPr>
            </w:pPr>
            <w:r w:rsidRPr="00F10029">
              <w:rPr>
                <w:rFonts w:cs="Times New Roman"/>
                <w:sz w:val="20"/>
                <w:szCs w:val="20"/>
              </w:rPr>
              <w:t>0.1639</w:t>
            </w:r>
          </w:p>
        </w:tc>
        <w:tc>
          <w:tcPr>
            <w:tcW w:w="766" w:type="dxa"/>
            <w:vAlign w:val="center"/>
          </w:tcPr>
          <w:p w14:paraId="1AE47EA5" w14:textId="2B793FDF" w:rsidR="00E47FBB" w:rsidRPr="00F10029" w:rsidRDefault="00E47FBB" w:rsidP="00E47FBB">
            <w:pPr>
              <w:jc w:val="center"/>
              <w:rPr>
                <w:rFonts w:cs="Times New Roman"/>
                <w:bCs/>
                <w:sz w:val="20"/>
                <w:szCs w:val="20"/>
              </w:rPr>
            </w:pPr>
            <w:r w:rsidRPr="00F10029">
              <w:rPr>
                <w:rFonts w:cs="Times New Roman"/>
                <w:sz w:val="20"/>
                <w:szCs w:val="20"/>
              </w:rPr>
              <w:t>0.0361</w:t>
            </w:r>
          </w:p>
        </w:tc>
        <w:tc>
          <w:tcPr>
            <w:tcW w:w="866" w:type="dxa"/>
            <w:vAlign w:val="center"/>
          </w:tcPr>
          <w:p w14:paraId="4ADB2EC5" w14:textId="65940BE7" w:rsidR="00E47FBB" w:rsidRPr="00F10029" w:rsidRDefault="00E47FBB" w:rsidP="00E47FBB">
            <w:pPr>
              <w:jc w:val="center"/>
              <w:rPr>
                <w:rFonts w:cs="Times New Roman"/>
                <w:bCs/>
                <w:sz w:val="20"/>
                <w:szCs w:val="20"/>
              </w:rPr>
            </w:pPr>
            <w:r w:rsidRPr="00F10029">
              <w:rPr>
                <w:rFonts w:cs="Times New Roman"/>
                <w:sz w:val="20"/>
                <w:szCs w:val="20"/>
              </w:rPr>
              <w:t>1.6483</w:t>
            </w:r>
          </w:p>
        </w:tc>
        <w:tc>
          <w:tcPr>
            <w:tcW w:w="766" w:type="dxa"/>
            <w:vAlign w:val="center"/>
          </w:tcPr>
          <w:p w14:paraId="559E298F" w14:textId="7B99781A" w:rsidR="00E47FBB" w:rsidRPr="00F10029" w:rsidRDefault="00E47FBB" w:rsidP="00E47FBB">
            <w:pPr>
              <w:jc w:val="center"/>
              <w:rPr>
                <w:rFonts w:cs="Times New Roman"/>
                <w:bCs/>
                <w:sz w:val="20"/>
                <w:szCs w:val="20"/>
              </w:rPr>
            </w:pPr>
            <w:r w:rsidRPr="00F10029">
              <w:rPr>
                <w:rFonts w:cs="Times New Roman"/>
                <w:sz w:val="20"/>
                <w:szCs w:val="20"/>
              </w:rPr>
              <w:t>0.0608</w:t>
            </w:r>
          </w:p>
        </w:tc>
      </w:tr>
      <w:tr w:rsidR="00072552" w:rsidRPr="00F10029" w14:paraId="5A498652" w14:textId="77777777" w:rsidTr="00072552">
        <w:tc>
          <w:tcPr>
            <w:tcW w:w="828" w:type="dxa"/>
            <w:vAlign w:val="center"/>
          </w:tcPr>
          <w:p w14:paraId="2556681F" w14:textId="49A17FD2" w:rsidR="00E47FBB" w:rsidRPr="00F10029" w:rsidRDefault="00E47FBB" w:rsidP="00E47FBB">
            <w:pPr>
              <w:jc w:val="center"/>
              <w:rPr>
                <w:rFonts w:cs="Times New Roman"/>
                <w:bCs/>
                <w:sz w:val="20"/>
                <w:szCs w:val="20"/>
              </w:rPr>
            </w:pPr>
            <w:r w:rsidRPr="00F10029">
              <w:rPr>
                <w:rFonts w:cs="Times New Roman"/>
                <w:sz w:val="20"/>
                <w:szCs w:val="20"/>
              </w:rPr>
              <w:t>3</w:t>
            </w:r>
          </w:p>
        </w:tc>
        <w:tc>
          <w:tcPr>
            <w:tcW w:w="832" w:type="dxa"/>
            <w:vAlign w:val="center"/>
          </w:tcPr>
          <w:p w14:paraId="7EE52D2C" w14:textId="53B1773A" w:rsidR="00E47FBB" w:rsidRPr="00F10029" w:rsidRDefault="00E47FBB" w:rsidP="00E47FBB">
            <w:pPr>
              <w:jc w:val="center"/>
              <w:rPr>
                <w:rFonts w:cs="Times New Roman"/>
                <w:bCs/>
                <w:sz w:val="20"/>
                <w:szCs w:val="20"/>
              </w:rPr>
            </w:pPr>
            <w:r w:rsidRPr="00F10029">
              <w:rPr>
                <w:rFonts w:cs="Times New Roman"/>
                <w:sz w:val="20"/>
                <w:szCs w:val="20"/>
              </w:rPr>
              <w:t>0.0964</w:t>
            </w:r>
          </w:p>
        </w:tc>
        <w:tc>
          <w:tcPr>
            <w:tcW w:w="841" w:type="dxa"/>
            <w:vAlign w:val="center"/>
          </w:tcPr>
          <w:p w14:paraId="3902EEDD" w14:textId="5A37C10A" w:rsidR="00E47FBB" w:rsidRPr="00F10029" w:rsidRDefault="00E47FBB" w:rsidP="00E47FBB">
            <w:pPr>
              <w:jc w:val="center"/>
              <w:rPr>
                <w:rFonts w:cs="Times New Roman"/>
                <w:bCs/>
                <w:sz w:val="20"/>
                <w:szCs w:val="20"/>
              </w:rPr>
            </w:pPr>
            <w:r w:rsidRPr="00F10029">
              <w:rPr>
                <w:rFonts w:cs="Times New Roman"/>
                <w:sz w:val="20"/>
                <w:szCs w:val="20"/>
              </w:rPr>
              <w:t>2.8031</w:t>
            </w:r>
          </w:p>
        </w:tc>
        <w:tc>
          <w:tcPr>
            <w:tcW w:w="833" w:type="dxa"/>
            <w:vAlign w:val="center"/>
          </w:tcPr>
          <w:p w14:paraId="4092741E" w14:textId="27F575B9" w:rsidR="00E47FBB" w:rsidRPr="00F10029" w:rsidRDefault="00E47FBB" w:rsidP="00E47FBB">
            <w:pPr>
              <w:jc w:val="center"/>
              <w:rPr>
                <w:rFonts w:cs="Times New Roman"/>
                <w:bCs/>
                <w:sz w:val="20"/>
                <w:szCs w:val="20"/>
              </w:rPr>
            </w:pPr>
            <w:r w:rsidRPr="00F10029">
              <w:rPr>
                <w:rFonts w:cs="Times New Roman"/>
                <w:sz w:val="20"/>
                <w:szCs w:val="20"/>
              </w:rPr>
              <w:t>0.0189</w:t>
            </w:r>
          </w:p>
        </w:tc>
        <w:tc>
          <w:tcPr>
            <w:tcW w:w="834" w:type="dxa"/>
            <w:vAlign w:val="center"/>
          </w:tcPr>
          <w:p w14:paraId="4D7D88F3" w14:textId="0EB212ED" w:rsidR="00E47FBB" w:rsidRPr="00F10029" w:rsidRDefault="00E47FBB" w:rsidP="00E47FBB">
            <w:pPr>
              <w:jc w:val="center"/>
              <w:rPr>
                <w:rFonts w:cs="Times New Roman"/>
                <w:bCs/>
                <w:sz w:val="20"/>
                <w:szCs w:val="20"/>
              </w:rPr>
            </w:pPr>
            <w:r w:rsidRPr="00F10029">
              <w:rPr>
                <w:rFonts w:cs="Times New Roman"/>
                <w:sz w:val="20"/>
                <w:szCs w:val="20"/>
              </w:rPr>
              <w:t>0.0205</w:t>
            </w:r>
          </w:p>
        </w:tc>
        <w:tc>
          <w:tcPr>
            <w:tcW w:w="936" w:type="dxa"/>
            <w:vAlign w:val="center"/>
          </w:tcPr>
          <w:p w14:paraId="63FBBB40" w14:textId="608CC3F8" w:rsidR="00E47FBB" w:rsidRPr="00F10029" w:rsidRDefault="00E47FBB" w:rsidP="00E47FBB">
            <w:pPr>
              <w:jc w:val="center"/>
              <w:rPr>
                <w:rFonts w:cs="Times New Roman"/>
                <w:bCs/>
                <w:sz w:val="20"/>
                <w:szCs w:val="20"/>
              </w:rPr>
            </w:pPr>
            <w:r w:rsidRPr="00F10029">
              <w:rPr>
                <w:rFonts w:cs="Times New Roman"/>
                <w:sz w:val="20"/>
                <w:szCs w:val="20"/>
              </w:rPr>
              <w:t>1.3959</w:t>
            </w:r>
          </w:p>
        </w:tc>
        <w:tc>
          <w:tcPr>
            <w:tcW w:w="992" w:type="dxa"/>
            <w:vAlign w:val="center"/>
          </w:tcPr>
          <w:p w14:paraId="4B4B7272" w14:textId="1346F1F0" w:rsidR="00E47FBB" w:rsidRPr="00F10029" w:rsidRDefault="00E47FBB" w:rsidP="00E47FBB">
            <w:pPr>
              <w:jc w:val="center"/>
              <w:rPr>
                <w:rFonts w:cs="Times New Roman"/>
                <w:bCs/>
                <w:sz w:val="20"/>
                <w:szCs w:val="20"/>
              </w:rPr>
            </w:pPr>
            <w:r w:rsidRPr="00F10029">
              <w:rPr>
                <w:rFonts w:cs="Times New Roman"/>
                <w:sz w:val="20"/>
                <w:szCs w:val="20"/>
              </w:rPr>
              <w:t>0.0965</w:t>
            </w:r>
          </w:p>
        </w:tc>
        <w:tc>
          <w:tcPr>
            <w:tcW w:w="992" w:type="dxa"/>
            <w:vAlign w:val="center"/>
          </w:tcPr>
          <w:p w14:paraId="28726458" w14:textId="23BC4CCC" w:rsidR="00E47FBB" w:rsidRPr="00F10029" w:rsidRDefault="00E47FBB" w:rsidP="00E47FBB">
            <w:pPr>
              <w:jc w:val="center"/>
              <w:rPr>
                <w:rFonts w:cs="Times New Roman"/>
                <w:bCs/>
                <w:sz w:val="20"/>
                <w:szCs w:val="20"/>
              </w:rPr>
            </w:pPr>
            <w:r w:rsidRPr="00F10029">
              <w:rPr>
                <w:rFonts w:cs="Times New Roman"/>
                <w:sz w:val="20"/>
                <w:szCs w:val="20"/>
              </w:rPr>
              <w:t>-0.0031</w:t>
            </w:r>
          </w:p>
        </w:tc>
        <w:tc>
          <w:tcPr>
            <w:tcW w:w="941" w:type="dxa"/>
            <w:vAlign w:val="center"/>
          </w:tcPr>
          <w:p w14:paraId="47805125" w14:textId="09DAE1F7" w:rsidR="00E47FBB" w:rsidRPr="00F10029" w:rsidRDefault="00E47FBB" w:rsidP="00E47FBB">
            <w:pPr>
              <w:jc w:val="center"/>
              <w:rPr>
                <w:rFonts w:cs="Times New Roman"/>
                <w:bCs/>
                <w:sz w:val="20"/>
                <w:szCs w:val="20"/>
              </w:rPr>
            </w:pPr>
            <w:r w:rsidRPr="00F10029">
              <w:rPr>
                <w:rFonts w:cs="Times New Roman"/>
                <w:sz w:val="20"/>
                <w:szCs w:val="20"/>
              </w:rPr>
              <w:t>-0.2702</w:t>
            </w:r>
          </w:p>
        </w:tc>
        <w:tc>
          <w:tcPr>
            <w:tcW w:w="772" w:type="dxa"/>
            <w:vAlign w:val="center"/>
          </w:tcPr>
          <w:p w14:paraId="20B5D5BB" w14:textId="2D1B6885" w:rsidR="00E47FBB" w:rsidRPr="00F10029" w:rsidRDefault="00E47FBB" w:rsidP="00E47FBB">
            <w:pPr>
              <w:jc w:val="center"/>
              <w:rPr>
                <w:rFonts w:cs="Times New Roman"/>
                <w:bCs/>
                <w:sz w:val="20"/>
                <w:szCs w:val="20"/>
              </w:rPr>
            </w:pPr>
            <w:r w:rsidRPr="00F10029">
              <w:rPr>
                <w:rFonts w:cs="Times New Roman"/>
                <w:sz w:val="20"/>
                <w:szCs w:val="20"/>
              </w:rPr>
              <w:t>0.4002</w:t>
            </w:r>
          </w:p>
        </w:tc>
        <w:tc>
          <w:tcPr>
            <w:tcW w:w="766" w:type="dxa"/>
            <w:vAlign w:val="center"/>
          </w:tcPr>
          <w:p w14:paraId="7AD51FE0" w14:textId="0F857B1B" w:rsidR="00E47FBB" w:rsidRPr="00F10029" w:rsidRDefault="00E47FBB" w:rsidP="00E47FBB">
            <w:pPr>
              <w:jc w:val="center"/>
              <w:rPr>
                <w:rFonts w:cs="Times New Roman"/>
                <w:bCs/>
                <w:sz w:val="20"/>
                <w:szCs w:val="20"/>
              </w:rPr>
            </w:pPr>
            <w:r w:rsidRPr="00F10029">
              <w:rPr>
                <w:rFonts w:cs="Times New Roman"/>
                <w:sz w:val="20"/>
                <w:szCs w:val="20"/>
              </w:rPr>
              <w:t>0.0126</w:t>
            </w:r>
          </w:p>
        </w:tc>
        <w:tc>
          <w:tcPr>
            <w:tcW w:w="866" w:type="dxa"/>
            <w:vAlign w:val="center"/>
          </w:tcPr>
          <w:p w14:paraId="5D34D660" w14:textId="0ED0648C" w:rsidR="00E47FBB" w:rsidRPr="00F10029" w:rsidRDefault="00E47FBB" w:rsidP="00E47FBB">
            <w:pPr>
              <w:jc w:val="center"/>
              <w:rPr>
                <w:rFonts w:cs="Times New Roman"/>
                <w:bCs/>
                <w:sz w:val="20"/>
                <w:szCs w:val="20"/>
              </w:rPr>
            </w:pPr>
            <w:r w:rsidRPr="00F10029">
              <w:rPr>
                <w:rFonts w:cs="Times New Roman"/>
                <w:sz w:val="20"/>
                <w:szCs w:val="20"/>
              </w:rPr>
              <w:t>1.4157</w:t>
            </w:r>
          </w:p>
        </w:tc>
        <w:tc>
          <w:tcPr>
            <w:tcW w:w="766" w:type="dxa"/>
            <w:vAlign w:val="center"/>
          </w:tcPr>
          <w:p w14:paraId="4F110068" w14:textId="6BAE0900" w:rsidR="00E47FBB" w:rsidRPr="00F10029" w:rsidRDefault="00E47FBB" w:rsidP="00E47FBB">
            <w:pPr>
              <w:jc w:val="center"/>
              <w:rPr>
                <w:rFonts w:cs="Times New Roman"/>
                <w:bCs/>
                <w:sz w:val="20"/>
                <w:szCs w:val="20"/>
              </w:rPr>
            </w:pPr>
            <w:r w:rsidRPr="00F10029">
              <w:rPr>
                <w:rFonts w:cs="Times New Roman"/>
                <w:sz w:val="20"/>
                <w:szCs w:val="20"/>
              </w:rPr>
              <w:t>0.0894</w:t>
            </w:r>
          </w:p>
        </w:tc>
      </w:tr>
      <w:tr w:rsidR="00072552" w:rsidRPr="00F10029" w14:paraId="6362ECAF" w14:textId="77777777" w:rsidTr="00072552">
        <w:tc>
          <w:tcPr>
            <w:tcW w:w="828" w:type="dxa"/>
            <w:vAlign w:val="center"/>
          </w:tcPr>
          <w:p w14:paraId="51B2F13F" w14:textId="0E9C4368" w:rsidR="00E47FBB" w:rsidRPr="00F10029" w:rsidRDefault="00E47FBB" w:rsidP="00E47FBB">
            <w:pPr>
              <w:jc w:val="center"/>
              <w:rPr>
                <w:rFonts w:cs="Times New Roman"/>
                <w:bCs/>
                <w:sz w:val="20"/>
                <w:szCs w:val="20"/>
              </w:rPr>
            </w:pPr>
            <w:r w:rsidRPr="00F10029">
              <w:rPr>
                <w:rFonts w:cs="Times New Roman"/>
                <w:sz w:val="20"/>
                <w:szCs w:val="20"/>
              </w:rPr>
              <w:t>4</w:t>
            </w:r>
          </w:p>
        </w:tc>
        <w:tc>
          <w:tcPr>
            <w:tcW w:w="832" w:type="dxa"/>
            <w:vAlign w:val="center"/>
          </w:tcPr>
          <w:p w14:paraId="58DDE895" w14:textId="1BD2B0BE" w:rsidR="00E47FBB" w:rsidRPr="00F10029" w:rsidRDefault="00E47FBB" w:rsidP="00E47FBB">
            <w:pPr>
              <w:jc w:val="center"/>
              <w:rPr>
                <w:rFonts w:cs="Times New Roman"/>
                <w:bCs/>
                <w:sz w:val="20"/>
                <w:szCs w:val="20"/>
              </w:rPr>
            </w:pPr>
            <w:r w:rsidRPr="00F10029">
              <w:rPr>
                <w:rFonts w:cs="Times New Roman"/>
                <w:sz w:val="20"/>
                <w:szCs w:val="20"/>
              </w:rPr>
              <w:t>-0.0304</w:t>
            </w:r>
          </w:p>
        </w:tc>
        <w:tc>
          <w:tcPr>
            <w:tcW w:w="841" w:type="dxa"/>
            <w:vAlign w:val="center"/>
          </w:tcPr>
          <w:p w14:paraId="54308F25" w14:textId="7CD33931" w:rsidR="00E47FBB" w:rsidRPr="00F10029" w:rsidRDefault="00E47FBB" w:rsidP="00E47FBB">
            <w:pPr>
              <w:jc w:val="center"/>
              <w:rPr>
                <w:rFonts w:cs="Times New Roman"/>
                <w:bCs/>
                <w:sz w:val="20"/>
                <w:szCs w:val="20"/>
              </w:rPr>
            </w:pPr>
            <w:r w:rsidRPr="00F10029">
              <w:rPr>
                <w:rFonts w:cs="Times New Roman"/>
                <w:sz w:val="20"/>
                <w:szCs w:val="20"/>
              </w:rPr>
              <w:t>-2.8709</w:t>
            </w:r>
          </w:p>
        </w:tc>
        <w:tc>
          <w:tcPr>
            <w:tcW w:w="833" w:type="dxa"/>
            <w:vAlign w:val="center"/>
          </w:tcPr>
          <w:p w14:paraId="65F0514F" w14:textId="4E461AA4" w:rsidR="00E47FBB" w:rsidRPr="00F10029" w:rsidRDefault="00E47FBB" w:rsidP="00E47FBB">
            <w:pPr>
              <w:jc w:val="center"/>
              <w:rPr>
                <w:rFonts w:cs="Times New Roman"/>
                <w:bCs/>
                <w:sz w:val="20"/>
                <w:szCs w:val="20"/>
              </w:rPr>
            </w:pPr>
            <w:r w:rsidRPr="00F10029">
              <w:rPr>
                <w:rFonts w:cs="Times New Roman"/>
                <w:sz w:val="20"/>
                <w:szCs w:val="20"/>
              </w:rPr>
              <w:t>0.0175</w:t>
            </w:r>
          </w:p>
        </w:tc>
        <w:tc>
          <w:tcPr>
            <w:tcW w:w="834" w:type="dxa"/>
            <w:vAlign w:val="center"/>
          </w:tcPr>
          <w:p w14:paraId="4F6C3FDB" w14:textId="7278D992" w:rsidR="00E47FBB" w:rsidRPr="00F10029" w:rsidRDefault="00E47FBB" w:rsidP="00E47FBB">
            <w:pPr>
              <w:jc w:val="center"/>
              <w:rPr>
                <w:rFonts w:cs="Times New Roman"/>
                <w:bCs/>
                <w:sz w:val="20"/>
                <w:szCs w:val="20"/>
              </w:rPr>
            </w:pPr>
            <w:r w:rsidRPr="00F10029">
              <w:rPr>
                <w:rFonts w:cs="Times New Roman"/>
                <w:sz w:val="20"/>
                <w:szCs w:val="20"/>
              </w:rPr>
              <w:t>-0.0171</w:t>
            </w:r>
          </w:p>
        </w:tc>
        <w:tc>
          <w:tcPr>
            <w:tcW w:w="936" w:type="dxa"/>
            <w:vAlign w:val="center"/>
          </w:tcPr>
          <w:p w14:paraId="06DA8D94" w14:textId="213FA7A2" w:rsidR="00E47FBB" w:rsidRPr="00F10029" w:rsidRDefault="00E47FBB" w:rsidP="00E47FBB">
            <w:pPr>
              <w:jc w:val="center"/>
              <w:rPr>
                <w:rFonts w:cs="Times New Roman"/>
                <w:bCs/>
                <w:sz w:val="20"/>
                <w:szCs w:val="20"/>
              </w:rPr>
            </w:pPr>
            <w:r w:rsidRPr="00F10029">
              <w:rPr>
                <w:rFonts w:cs="Times New Roman"/>
                <w:sz w:val="20"/>
                <w:szCs w:val="20"/>
              </w:rPr>
              <w:t>-2.4271</w:t>
            </w:r>
          </w:p>
        </w:tc>
        <w:tc>
          <w:tcPr>
            <w:tcW w:w="992" w:type="dxa"/>
            <w:vAlign w:val="center"/>
          </w:tcPr>
          <w:p w14:paraId="09761227" w14:textId="220EB36A" w:rsidR="00E47FBB" w:rsidRPr="00F10029" w:rsidRDefault="00E47FBB" w:rsidP="00E47FBB">
            <w:pPr>
              <w:jc w:val="center"/>
              <w:rPr>
                <w:rFonts w:cs="Times New Roman"/>
                <w:bCs/>
                <w:sz w:val="20"/>
                <w:szCs w:val="20"/>
              </w:rPr>
            </w:pPr>
            <w:r w:rsidRPr="00F10029">
              <w:rPr>
                <w:rFonts w:cs="Times New Roman"/>
                <w:sz w:val="20"/>
                <w:szCs w:val="20"/>
              </w:rPr>
              <w:t>0.0178</w:t>
            </w:r>
          </w:p>
        </w:tc>
        <w:tc>
          <w:tcPr>
            <w:tcW w:w="992" w:type="dxa"/>
            <w:vAlign w:val="center"/>
          </w:tcPr>
          <w:p w14:paraId="11A31C2A" w14:textId="2905C0E0" w:rsidR="00E47FBB" w:rsidRPr="00F10029" w:rsidRDefault="00E47FBB" w:rsidP="00E47FBB">
            <w:pPr>
              <w:jc w:val="center"/>
              <w:rPr>
                <w:rFonts w:cs="Times New Roman"/>
                <w:bCs/>
                <w:sz w:val="20"/>
                <w:szCs w:val="20"/>
              </w:rPr>
            </w:pPr>
            <w:r w:rsidRPr="00F10029">
              <w:rPr>
                <w:rFonts w:cs="Times New Roman"/>
                <w:sz w:val="20"/>
                <w:szCs w:val="20"/>
              </w:rPr>
              <w:t>-0.0374</w:t>
            </w:r>
          </w:p>
        </w:tc>
        <w:tc>
          <w:tcPr>
            <w:tcW w:w="941" w:type="dxa"/>
            <w:vAlign w:val="center"/>
          </w:tcPr>
          <w:p w14:paraId="397C415D" w14:textId="5CC52345" w:rsidR="00E47FBB" w:rsidRPr="00F10029" w:rsidRDefault="00E47FBB" w:rsidP="00E47FBB">
            <w:pPr>
              <w:jc w:val="center"/>
              <w:rPr>
                <w:rFonts w:cs="Times New Roman"/>
                <w:bCs/>
                <w:sz w:val="20"/>
                <w:szCs w:val="20"/>
              </w:rPr>
            </w:pPr>
            <w:r w:rsidRPr="00F10029">
              <w:rPr>
                <w:rFonts w:cs="Times New Roman"/>
                <w:sz w:val="20"/>
                <w:szCs w:val="20"/>
              </w:rPr>
              <w:t>-4.8996</w:t>
            </w:r>
          </w:p>
        </w:tc>
        <w:tc>
          <w:tcPr>
            <w:tcW w:w="772" w:type="dxa"/>
            <w:vAlign w:val="center"/>
          </w:tcPr>
          <w:p w14:paraId="6EE458E9" w14:textId="11E6FC5D" w:rsidR="00E47FBB" w:rsidRPr="00F10029" w:rsidRDefault="00E47FBB" w:rsidP="00E47FBB">
            <w:pPr>
              <w:jc w:val="center"/>
              <w:rPr>
                <w:rFonts w:cs="Times New Roman"/>
                <w:bCs/>
                <w:sz w:val="20"/>
                <w:szCs w:val="20"/>
              </w:rPr>
            </w:pPr>
            <w:r w:rsidRPr="00F10029">
              <w:rPr>
                <w:rFonts w:cs="Times New Roman"/>
                <w:sz w:val="20"/>
                <w:szCs w:val="20"/>
              </w:rPr>
              <w:t>0.0040</w:t>
            </w:r>
          </w:p>
        </w:tc>
        <w:tc>
          <w:tcPr>
            <w:tcW w:w="766" w:type="dxa"/>
            <w:vAlign w:val="center"/>
          </w:tcPr>
          <w:p w14:paraId="4933D177" w14:textId="656C3DA5" w:rsidR="00E47FBB" w:rsidRPr="00F10029" w:rsidRDefault="00E47FBB" w:rsidP="00E47FBB">
            <w:pPr>
              <w:jc w:val="center"/>
              <w:rPr>
                <w:rFonts w:cs="Times New Roman"/>
                <w:bCs/>
                <w:sz w:val="20"/>
                <w:szCs w:val="20"/>
              </w:rPr>
            </w:pPr>
            <w:r w:rsidRPr="00F10029">
              <w:rPr>
                <w:rFonts w:cs="Times New Roman"/>
                <w:sz w:val="20"/>
                <w:szCs w:val="20"/>
              </w:rPr>
              <w:t>-0.0203</w:t>
            </w:r>
          </w:p>
        </w:tc>
        <w:tc>
          <w:tcPr>
            <w:tcW w:w="866" w:type="dxa"/>
            <w:vAlign w:val="center"/>
          </w:tcPr>
          <w:p w14:paraId="63F78E95" w14:textId="0485D62F" w:rsidR="00E47FBB" w:rsidRPr="00F10029" w:rsidRDefault="00E47FBB" w:rsidP="00E47FBB">
            <w:pPr>
              <w:jc w:val="center"/>
              <w:rPr>
                <w:rFonts w:cs="Times New Roman"/>
                <w:bCs/>
                <w:sz w:val="20"/>
                <w:szCs w:val="20"/>
              </w:rPr>
            </w:pPr>
            <w:r w:rsidRPr="00F10029">
              <w:rPr>
                <w:rFonts w:cs="Times New Roman"/>
                <w:sz w:val="20"/>
                <w:szCs w:val="20"/>
              </w:rPr>
              <w:t>-3.1359</w:t>
            </w:r>
          </w:p>
        </w:tc>
        <w:tc>
          <w:tcPr>
            <w:tcW w:w="766" w:type="dxa"/>
            <w:vAlign w:val="center"/>
          </w:tcPr>
          <w:p w14:paraId="2B25C77E" w14:textId="1D768A7D" w:rsidR="00E47FBB" w:rsidRPr="00F10029" w:rsidRDefault="00E47FBB" w:rsidP="00E47FBB">
            <w:pPr>
              <w:jc w:val="center"/>
              <w:rPr>
                <w:rFonts w:cs="Times New Roman"/>
                <w:bCs/>
                <w:sz w:val="20"/>
                <w:szCs w:val="20"/>
              </w:rPr>
            </w:pPr>
            <w:r w:rsidRPr="00F10029">
              <w:rPr>
                <w:rFonts w:cs="Times New Roman"/>
                <w:sz w:val="20"/>
                <w:szCs w:val="20"/>
              </w:rPr>
              <w:t>0.0036</w:t>
            </w:r>
          </w:p>
        </w:tc>
      </w:tr>
      <w:tr w:rsidR="00072552" w:rsidRPr="00F10029" w14:paraId="71E8E2A4" w14:textId="77777777" w:rsidTr="00072552">
        <w:tc>
          <w:tcPr>
            <w:tcW w:w="828" w:type="dxa"/>
            <w:vAlign w:val="center"/>
          </w:tcPr>
          <w:p w14:paraId="651EF374" w14:textId="67ABA6D6" w:rsidR="00E47FBB" w:rsidRPr="00F10029" w:rsidRDefault="00E47FBB" w:rsidP="00E47FBB">
            <w:pPr>
              <w:jc w:val="center"/>
              <w:rPr>
                <w:rFonts w:cs="Times New Roman"/>
                <w:bCs/>
                <w:sz w:val="20"/>
                <w:szCs w:val="20"/>
              </w:rPr>
            </w:pPr>
            <w:r w:rsidRPr="00F10029">
              <w:rPr>
                <w:rFonts w:cs="Times New Roman"/>
                <w:sz w:val="20"/>
                <w:szCs w:val="20"/>
              </w:rPr>
              <w:t>5</w:t>
            </w:r>
          </w:p>
        </w:tc>
        <w:tc>
          <w:tcPr>
            <w:tcW w:w="832" w:type="dxa"/>
            <w:vAlign w:val="center"/>
          </w:tcPr>
          <w:p w14:paraId="6F6E88F9" w14:textId="3F2C603F" w:rsidR="00E47FBB" w:rsidRPr="00F10029" w:rsidRDefault="00E47FBB" w:rsidP="00E47FBB">
            <w:pPr>
              <w:jc w:val="center"/>
              <w:rPr>
                <w:rFonts w:cs="Times New Roman"/>
                <w:bCs/>
                <w:sz w:val="20"/>
                <w:szCs w:val="20"/>
              </w:rPr>
            </w:pPr>
            <w:r w:rsidRPr="00F10029">
              <w:rPr>
                <w:rFonts w:cs="Times New Roman"/>
                <w:sz w:val="20"/>
                <w:szCs w:val="20"/>
              </w:rPr>
              <w:t>-0.0815</w:t>
            </w:r>
          </w:p>
        </w:tc>
        <w:tc>
          <w:tcPr>
            <w:tcW w:w="841" w:type="dxa"/>
            <w:vAlign w:val="center"/>
          </w:tcPr>
          <w:p w14:paraId="7E899E82" w14:textId="24751812" w:rsidR="00E47FBB" w:rsidRPr="00F10029" w:rsidRDefault="00E47FBB" w:rsidP="00E47FBB">
            <w:pPr>
              <w:jc w:val="center"/>
              <w:rPr>
                <w:rFonts w:cs="Times New Roman"/>
                <w:bCs/>
                <w:sz w:val="20"/>
                <w:szCs w:val="20"/>
              </w:rPr>
            </w:pPr>
            <w:r w:rsidRPr="00F10029">
              <w:rPr>
                <w:rFonts w:cs="Times New Roman"/>
                <w:sz w:val="20"/>
                <w:szCs w:val="20"/>
              </w:rPr>
              <w:t>-3.9605</w:t>
            </w:r>
          </w:p>
        </w:tc>
        <w:tc>
          <w:tcPr>
            <w:tcW w:w="833" w:type="dxa"/>
            <w:vAlign w:val="center"/>
          </w:tcPr>
          <w:p w14:paraId="0092CA5B" w14:textId="3B293372" w:rsidR="00E47FBB" w:rsidRPr="00F10029" w:rsidRDefault="00E47FBB" w:rsidP="00E47FBB">
            <w:pPr>
              <w:jc w:val="center"/>
              <w:rPr>
                <w:rFonts w:cs="Times New Roman"/>
                <w:bCs/>
                <w:sz w:val="20"/>
                <w:szCs w:val="20"/>
              </w:rPr>
            </w:pPr>
            <w:r w:rsidRPr="00F10029">
              <w:rPr>
                <w:rFonts w:cs="Times New Roman"/>
                <w:sz w:val="20"/>
                <w:szCs w:val="20"/>
              </w:rPr>
              <w:t>0.0054</w:t>
            </w:r>
          </w:p>
        </w:tc>
        <w:tc>
          <w:tcPr>
            <w:tcW w:w="834" w:type="dxa"/>
            <w:vAlign w:val="center"/>
          </w:tcPr>
          <w:p w14:paraId="1A69B28B" w14:textId="36A76C23" w:rsidR="00E47FBB" w:rsidRPr="00F10029" w:rsidRDefault="00E47FBB" w:rsidP="00E47FBB">
            <w:pPr>
              <w:jc w:val="center"/>
              <w:rPr>
                <w:rFonts w:cs="Times New Roman"/>
                <w:bCs/>
                <w:sz w:val="20"/>
                <w:szCs w:val="20"/>
              </w:rPr>
            </w:pPr>
            <w:r w:rsidRPr="00F10029">
              <w:rPr>
                <w:rFonts w:cs="Times New Roman"/>
                <w:sz w:val="20"/>
                <w:szCs w:val="20"/>
              </w:rPr>
              <w:t>-0.0572</w:t>
            </w:r>
          </w:p>
        </w:tc>
        <w:tc>
          <w:tcPr>
            <w:tcW w:w="936" w:type="dxa"/>
            <w:vAlign w:val="center"/>
          </w:tcPr>
          <w:p w14:paraId="63F33BC9" w14:textId="4FEC5EBE" w:rsidR="00E47FBB" w:rsidRPr="00F10029" w:rsidRDefault="00E47FBB" w:rsidP="00E47FBB">
            <w:pPr>
              <w:jc w:val="center"/>
              <w:rPr>
                <w:rFonts w:cs="Times New Roman"/>
                <w:bCs/>
                <w:sz w:val="20"/>
                <w:szCs w:val="20"/>
              </w:rPr>
            </w:pPr>
            <w:r w:rsidRPr="00F10029">
              <w:rPr>
                <w:rFonts w:cs="Times New Roman"/>
                <w:sz w:val="20"/>
                <w:szCs w:val="20"/>
              </w:rPr>
              <w:t>-3.8340</w:t>
            </w:r>
          </w:p>
        </w:tc>
        <w:tc>
          <w:tcPr>
            <w:tcW w:w="992" w:type="dxa"/>
            <w:vAlign w:val="center"/>
          </w:tcPr>
          <w:p w14:paraId="054989B1" w14:textId="39FB8BAC" w:rsidR="00E47FBB" w:rsidRPr="00F10029" w:rsidRDefault="00E47FBB" w:rsidP="00E47FBB">
            <w:pPr>
              <w:jc w:val="center"/>
              <w:rPr>
                <w:rFonts w:cs="Times New Roman"/>
                <w:bCs/>
                <w:sz w:val="20"/>
                <w:szCs w:val="20"/>
              </w:rPr>
            </w:pPr>
            <w:r w:rsidRPr="00F10029">
              <w:rPr>
                <w:rFonts w:cs="Times New Roman"/>
                <w:sz w:val="20"/>
                <w:szCs w:val="20"/>
              </w:rPr>
              <w:t>0.0016</w:t>
            </w:r>
          </w:p>
        </w:tc>
        <w:tc>
          <w:tcPr>
            <w:tcW w:w="992" w:type="dxa"/>
            <w:vAlign w:val="center"/>
          </w:tcPr>
          <w:p w14:paraId="71340A3D" w14:textId="022A0780" w:rsidR="00E47FBB" w:rsidRPr="00F10029" w:rsidRDefault="00E47FBB" w:rsidP="00E47FBB">
            <w:pPr>
              <w:jc w:val="center"/>
              <w:rPr>
                <w:rFonts w:cs="Times New Roman"/>
                <w:bCs/>
                <w:sz w:val="20"/>
                <w:szCs w:val="20"/>
              </w:rPr>
            </w:pPr>
            <w:r w:rsidRPr="00F10029">
              <w:rPr>
                <w:rFonts w:cs="Times New Roman"/>
                <w:sz w:val="20"/>
                <w:szCs w:val="20"/>
              </w:rPr>
              <w:t>-0.0759</w:t>
            </w:r>
          </w:p>
        </w:tc>
        <w:tc>
          <w:tcPr>
            <w:tcW w:w="941" w:type="dxa"/>
            <w:vAlign w:val="center"/>
          </w:tcPr>
          <w:p w14:paraId="7479B62D" w14:textId="216E6DF4" w:rsidR="00E47FBB" w:rsidRPr="00F10029" w:rsidRDefault="00E47FBB" w:rsidP="00E47FBB">
            <w:pPr>
              <w:jc w:val="center"/>
              <w:rPr>
                <w:rFonts w:cs="Times New Roman"/>
                <w:bCs/>
                <w:sz w:val="20"/>
                <w:szCs w:val="20"/>
              </w:rPr>
            </w:pPr>
            <w:r w:rsidRPr="00F10029">
              <w:rPr>
                <w:rFonts w:cs="Times New Roman"/>
                <w:sz w:val="20"/>
                <w:szCs w:val="20"/>
              </w:rPr>
              <w:t>-4.9450</w:t>
            </w:r>
          </w:p>
        </w:tc>
        <w:tc>
          <w:tcPr>
            <w:tcW w:w="772" w:type="dxa"/>
            <w:vAlign w:val="center"/>
          </w:tcPr>
          <w:p w14:paraId="7C4ECB77" w14:textId="247CE2D1" w:rsidR="00E47FBB" w:rsidRPr="00F10029" w:rsidRDefault="00E47FBB" w:rsidP="00E47FBB">
            <w:pPr>
              <w:jc w:val="center"/>
              <w:rPr>
                <w:rFonts w:cs="Times New Roman"/>
                <w:bCs/>
                <w:sz w:val="20"/>
                <w:szCs w:val="20"/>
              </w:rPr>
            </w:pPr>
            <w:r w:rsidRPr="00F10029">
              <w:rPr>
                <w:rFonts w:cs="Times New Roman"/>
                <w:sz w:val="20"/>
                <w:szCs w:val="20"/>
              </w:rPr>
              <w:t>0.0039</w:t>
            </w:r>
          </w:p>
        </w:tc>
        <w:tc>
          <w:tcPr>
            <w:tcW w:w="766" w:type="dxa"/>
            <w:vAlign w:val="center"/>
          </w:tcPr>
          <w:p w14:paraId="75E07C74" w14:textId="661626BE" w:rsidR="00E47FBB" w:rsidRPr="00F10029" w:rsidRDefault="00E47FBB" w:rsidP="00E47FBB">
            <w:pPr>
              <w:jc w:val="center"/>
              <w:rPr>
                <w:rFonts w:cs="Times New Roman"/>
                <w:bCs/>
                <w:sz w:val="20"/>
                <w:szCs w:val="20"/>
              </w:rPr>
            </w:pPr>
            <w:r w:rsidRPr="00F10029">
              <w:rPr>
                <w:rFonts w:cs="Times New Roman"/>
                <w:sz w:val="20"/>
                <w:szCs w:val="20"/>
              </w:rPr>
              <w:t>-0.0566</w:t>
            </w:r>
          </w:p>
        </w:tc>
        <w:tc>
          <w:tcPr>
            <w:tcW w:w="866" w:type="dxa"/>
            <w:vAlign w:val="center"/>
          </w:tcPr>
          <w:p w14:paraId="40136175" w14:textId="7AD9376A" w:rsidR="00E47FBB" w:rsidRPr="00F10029" w:rsidRDefault="00E47FBB" w:rsidP="00E47FBB">
            <w:pPr>
              <w:jc w:val="center"/>
              <w:rPr>
                <w:rFonts w:cs="Times New Roman"/>
                <w:bCs/>
                <w:sz w:val="20"/>
                <w:szCs w:val="20"/>
              </w:rPr>
            </w:pPr>
            <w:r w:rsidRPr="00F10029">
              <w:rPr>
                <w:rFonts w:cs="Times New Roman"/>
                <w:sz w:val="20"/>
                <w:szCs w:val="20"/>
              </w:rPr>
              <w:t>-4.1326</w:t>
            </w:r>
          </w:p>
        </w:tc>
        <w:tc>
          <w:tcPr>
            <w:tcW w:w="766" w:type="dxa"/>
            <w:vAlign w:val="center"/>
          </w:tcPr>
          <w:p w14:paraId="428E8DF6" w14:textId="7A2FC907" w:rsidR="00E47FBB" w:rsidRPr="00F10029" w:rsidRDefault="00E47FBB" w:rsidP="00E47FBB">
            <w:pPr>
              <w:jc w:val="center"/>
              <w:rPr>
                <w:rFonts w:cs="Times New Roman"/>
                <w:bCs/>
                <w:sz w:val="20"/>
                <w:szCs w:val="20"/>
              </w:rPr>
            </w:pPr>
            <w:r w:rsidRPr="00F10029">
              <w:rPr>
                <w:rFonts w:cs="Times New Roman"/>
                <w:sz w:val="20"/>
                <w:szCs w:val="20"/>
              </w:rPr>
              <w:t>0.0005</w:t>
            </w:r>
          </w:p>
        </w:tc>
      </w:tr>
      <w:tr w:rsidR="00072552" w:rsidRPr="00F10029" w14:paraId="7F465128" w14:textId="77777777" w:rsidTr="00072552">
        <w:tc>
          <w:tcPr>
            <w:tcW w:w="828" w:type="dxa"/>
            <w:vAlign w:val="center"/>
          </w:tcPr>
          <w:p w14:paraId="0E4BAA56" w14:textId="16400490" w:rsidR="00E47FBB" w:rsidRPr="00F10029" w:rsidRDefault="00E47FBB" w:rsidP="00E47FBB">
            <w:pPr>
              <w:jc w:val="center"/>
              <w:rPr>
                <w:rFonts w:cs="Times New Roman"/>
                <w:bCs/>
                <w:sz w:val="20"/>
                <w:szCs w:val="20"/>
              </w:rPr>
            </w:pPr>
            <w:r w:rsidRPr="00F10029">
              <w:rPr>
                <w:rFonts w:cs="Times New Roman"/>
                <w:sz w:val="20"/>
                <w:szCs w:val="20"/>
              </w:rPr>
              <w:t>6</w:t>
            </w:r>
          </w:p>
        </w:tc>
        <w:tc>
          <w:tcPr>
            <w:tcW w:w="832" w:type="dxa"/>
            <w:vAlign w:val="center"/>
          </w:tcPr>
          <w:p w14:paraId="07D2695B" w14:textId="30FBB4E5" w:rsidR="00E47FBB" w:rsidRPr="00F10029" w:rsidRDefault="00E47FBB" w:rsidP="00E47FBB">
            <w:pPr>
              <w:jc w:val="center"/>
              <w:rPr>
                <w:rFonts w:cs="Times New Roman"/>
                <w:bCs/>
                <w:sz w:val="20"/>
                <w:szCs w:val="20"/>
              </w:rPr>
            </w:pPr>
            <w:r w:rsidRPr="00F10029">
              <w:rPr>
                <w:rFonts w:cs="Times New Roman"/>
                <w:sz w:val="20"/>
                <w:szCs w:val="20"/>
              </w:rPr>
              <w:t>0.0403</w:t>
            </w:r>
          </w:p>
        </w:tc>
        <w:tc>
          <w:tcPr>
            <w:tcW w:w="841" w:type="dxa"/>
            <w:vAlign w:val="center"/>
          </w:tcPr>
          <w:p w14:paraId="2E207FCF" w14:textId="435791F4" w:rsidR="00E47FBB" w:rsidRPr="00F10029" w:rsidRDefault="00E47FBB" w:rsidP="00E47FBB">
            <w:pPr>
              <w:jc w:val="center"/>
              <w:rPr>
                <w:rFonts w:cs="Times New Roman"/>
                <w:bCs/>
                <w:sz w:val="20"/>
                <w:szCs w:val="20"/>
              </w:rPr>
            </w:pPr>
            <w:r w:rsidRPr="00F10029">
              <w:rPr>
                <w:rFonts w:cs="Times New Roman"/>
                <w:sz w:val="20"/>
                <w:szCs w:val="20"/>
              </w:rPr>
              <w:t>1.8466</w:t>
            </w:r>
          </w:p>
        </w:tc>
        <w:tc>
          <w:tcPr>
            <w:tcW w:w="833" w:type="dxa"/>
            <w:vAlign w:val="center"/>
          </w:tcPr>
          <w:p w14:paraId="2FD3E112" w14:textId="1187128A" w:rsidR="00E47FBB" w:rsidRPr="00F10029" w:rsidRDefault="00E47FBB" w:rsidP="00E47FBB">
            <w:pPr>
              <w:jc w:val="center"/>
              <w:rPr>
                <w:rFonts w:cs="Times New Roman"/>
                <w:bCs/>
                <w:sz w:val="20"/>
                <w:szCs w:val="20"/>
              </w:rPr>
            </w:pPr>
            <w:r w:rsidRPr="00F10029">
              <w:rPr>
                <w:rFonts w:cs="Times New Roman"/>
                <w:sz w:val="20"/>
                <w:szCs w:val="20"/>
              </w:rPr>
              <w:t>0.0620</w:t>
            </w:r>
          </w:p>
        </w:tc>
        <w:tc>
          <w:tcPr>
            <w:tcW w:w="834" w:type="dxa"/>
            <w:vAlign w:val="center"/>
          </w:tcPr>
          <w:p w14:paraId="6E6E4435" w14:textId="05DEE3E5" w:rsidR="00E47FBB" w:rsidRPr="00F10029" w:rsidRDefault="00E47FBB" w:rsidP="00E47FBB">
            <w:pPr>
              <w:jc w:val="center"/>
              <w:rPr>
                <w:rFonts w:cs="Times New Roman"/>
                <w:bCs/>
                <w:sz w:val="20"/>
                <w:szCs w:val="20"/>
              </w:rPr>
            </w:pPr>
            <w:r w:rsidRPr="00F10029">
              <w:rPr>
                <w:rFonts w:cs="Times New Roman"/>
                <w:sz w:val="20"/>
                <w:szCs w:val="20"/>
              </w:rPr>
              <w:t>0.0231</w:t>
            </w:r>
          </w:p>
        </w:tc>
        <w:tc>
          <w:tcPr>
            <w:tcW w:w="936" w:type="dxa"/>
            <w:vAlign w:val="center"/>
          </w:tcPr>
          <w:p w14:paraId="173B88D6" w14:textId="52D97EAA" w:rsidR="00E47FBB" w:rsidRPr="00F10029" w:rsidRDefault="00E47FBB" w:rsidP="00E47FBB">
            <w:pPr>
              <w:jc w:val="center"/>
              <w:rPr>
                <w:rFonts w:cs="Times New Roman"/>
                <w:bCs/>
                <w:sz w:val="20"/>
                <w:szCs w:val="20"/>
              </w:rPr>
            </w:pPr>
            <w:r w:rsidRPr="00F10029">
              <w:rPr>
                <w:rFonts w:cs="Times New Roman"/>
                <w:sz w:val="20"/>
                <w:szCs w:val="20"/>
              </w:rPr>
              <w:t>2.1079</w:t>
            </w:r>
          </w:p>
        </w:tc>
        <w:tc>
          <w:tcPr>
            <w:tcW w:w="992" w:type="dxa"/>
            <w:vAlign w:val="center"/>
          </w:tcPr>
          <w:p w14:paraId="61FD3CA7" w14:textId="7CDD1B9E" w:rsidR="00E47FBB" w:rsidRPr="00F10029" w:rsidRDefault="00E47FBB" w:rsidP="00E47FBB">
            <w:pPr>
              <w:jc w:val="center"/>
              <w:rPr>
                <w:rFonts w:cs="Times New Roman"/>
                <w:bCs/>
                <w:sz w:val="20"/>
                <w:szCs w:val="20"/>
              </w:rPr>
            </w:pPr>
            <w:r w:rsidRPr="00F10029">
              <w:rPr>
                <w:rFonts w:cs="Times New Roman"/>
                <w:sz w:val="20"/>
                <w:szCs w:val="20"/>
              </w:rPr>
              <w:t>0.0306</w:t>
            </w:r>
          </w:p>
        </w:tc>
        <w:tc>
          <w:tcPr>
            <w:tcW w:w="992" w:type="dxa"/>
            <w:vAlign w:val="center"/>
          </w:tcPr>
          <w:p w14:paraId="4B0CB460" w14:textId="497970C3" w:rsidR="00E47FBB" w:rsidRPr="00F10029" w:rsidRDefault="00E47FBB" w:rsidP="00E47FBB">
            <w:pPr>
              <w:jc w:val="center"/>
              <w:rPr>
                <w:rFonts w:cs="Times New Roman"/>
                <w:bCs/>
                <w:sz w:val="20"/>
                <w:szCs w:val="20"/>
              </w:rPr>
            </w:pPr>
            <w:r w:rsidRPr="00F10029">
              <w:rPr>
                <w:rFonts w:cs="Times New Roman"/>
                <w:sz w:val="20"/>
                <w:szCs w:val="20"/>
              </w:rPr>
              <w:t>0.0174</w:t>
            </w:r>
          </w:p>
        </w:tc>
        <w:tc>
          <w:tcPr>
            <w:tcW w:w="941" w:type="dxa"/>
            <w:vAlign w:val="center"/>
          </w:tcPr>
          <w:p w14:paraId="41709B52" w14:textId="52E7C620" w:rsidR="00E47FBB" w:rsidRPr="00F10029" w:rsidRDefault="00E47FBB" w:rsidP="00E47FBB">
            <w:pPr>
              <w:jc w:val="center"/>
              <w:rPr>
                <w:rFonts w:cs="Times New Roman"/>
                <w:bCs/>
                <w:sz w:val="20"/>
                <w:szCs w:val="20"/>
              </w:rPr>
            </w:pPr>
            <w:r w:rsidRPr="00F10029">
              <w:rPr>
                <w:rFonts w:cs="Times New Roman"/>
                <w:sz w:val="20"/>
                <w:szCs w:val="20"/>
              </w:rPr>
              <w:t>2.6059</w:t>
            </w:r>
          </w:p>
        </w:tc>
        <w:tc>
          <w:tcPr>
            <w:tcW w:w="772" w:type="dxa"/>
            <w:vAlign w:val="center"/>
          </w:tcPr>
          <w:p w14:paraId="18036777" w14:textId="20A898F0" w:rsidR="00E47FBB" w:rsidRPr="00F10029" w:rsidRDefault="00E47FBB" w:rsidP="00E47FBB">
            <w:pPr>
              <w:jc w:val="center"/>
              <w:rPr>
                <w:rFonts w:cs="Times New Roman"/>
                <w:bCs/>
                <w:sz w:val="20"/>
                <w:szCs w:val="20"/>
              </w:rPr>
            </w:pPr>
            <w:r w:rsidRPr="00F10029">
              <w:rPr>
                <w:rFonts w:cs="Times New Roman"/>
                <w:sz w:val="20"/>
                <w:szCs w:val="20"/>
              </w:rPr>
              <w:t>0.0298</w:t>
            </w:r>
          </w:p>
        </w:tc>
        <w:tc>
          <w:tcPr>
            <w:tcW w:w="766" w:type="dxa"/>
            <w:vAlign w:val="center"/>
          </w:tcPr>
          <w:p w14:paraId="55A50F6E" w14:textId="7EFFE475" w:rsidR="00E47FBB" w:rsidRPr="00F10029" w:rsidRDefault="00E47FBB" w:rsidP="00E47FBB">
            <w:pPr>
              <w:jc w:val="center"/>
              <w:rPr>
                <w:rFonts w:cs="Times New Roman"/>
                <w:bCs/>
                <w:sz w:val="20"/>
                <w:szCs w:val="20"/>
              </w:rPr>
            </w:pPr>
            <w:r w:rsidRPr="00F10029">
              <w:rPr>
                <w:rFonts w:cs="Times New Roman"/>
                <w:sz w:val="20"/>
                <w:szCs w:val="20"/>
              </w:rPr>
              <w:t>0.0139</w:t>
            </w:r>
          </w:p>
        </w:tc>
        <w:tc>
          <w:tcPr>
            <w:tcW w:w="866" w:type="dxa"/>
            <w:vAlign w:val="center"/>
          </w:tcPr>
          <w:p w14:paraId="384DC893" w14:textId="39EC6254" w:rsidR="00E47FBB" w:rsidRPr="00F10029" w:rsidRDefault="00E47FBB" w:rsidP="00E47FBB">
            <w:pPr>
              <w:jc w:val="center"/>
              <w:rPr>
                <w:rFonts w:cs="Times New Roman"/>
                <w:bCs/>
                <w:sz w:val="20"/>
                <w:szCs w:val="20"/>
              </w:rPr>
            </w:pPr>
            <w:r w:rsidRPr="00F10029">
              <w:rPr>
                <w:rFonts w:cs="Times New Roman"/>
                <w:sz w:val="20"/>
                <w:szCs w:val="20"/>
              </w:rPr>
              <w:t>2.3853</w:t>
            </w:r>
          </w:p>
        </w:tc>
        <w:tc>
          <w:tcPr>
            <w:tcW w:w="766" w:type="dxa"/>
            <w:vAlign w:val="center"/>
          </w:tcPr>
          <w:p w14:paraId="1B149289" w14:textId="3C84F3E0" w:rsidR="00E47FBB" w:rsidRPr="00F10029" w:rsidRDefault="00E47FBB" w:rsidP="00E47FBB">
            <w:pPr>
              <w:jc w:val="center"/>
              <w:rPr>
                <w:rFonts w:cs="Times New Roman"/>
                <w:bCs/>
                <w:sz w:val="20"/>
                <w:szCs w:val="20"/>
              </w:rPr>
            </w:pPr>
            <w:r w:rsidRPr="00F10029">
              <w:rPr>
                <w:rFonts w:cs="Times New Roman"/>
                <w:sz w:val="20"/>
                <w:szCs w:val="20"/>
              </w:rPr>
              <w:t>0.0159</w:t>
            </w:r>
          </w:p>
        </w:tc>
      </w:tr>
      <w:tr w:rsidR="00072552" w:rsidRPr="00F10029" w14:paraId="32843BA2" w14:textId="77777777" w:rsidTr="00072552">
        <w:tc>
          <w:tcPr>
            <w:tcW w:w="828" w:type="dxa"/>
            <w:vAlign w:val="center"/>
          </w:tcPr>
          <w:p w14:paraId="47A45EFF" w14:textId="538CBD87" w:rsidR="00E47FBB" w:rsidRPr="00F10029" w:rsidRDefault="00E47FBB" w:rsidP="00E47FBB">
            <w:pPr>
              <w:jc w:val="center"/>
              <w:rPr>
                <w:rFonts w:cs="Times New Roman"/>
                <w:bCs/>
                <w:sz w:val="20"/>
                <w:szCs w:val="20"/>
              </w:rPr>
            </w:pPr>
            <w:r w:rsidRPr="00F10029">
              <w:rPr>
                <w:rFonts w:cs="Times New Roman"/>
                <w:sz w:val="20"/>
                <w:szCs w:val="20"/>
              </w:rPr>
              <w:t>7</w:t>
            </w:r>
          </w:p>
        </w:tc>
        <w:tc>
          <w:tcPr>
            <w:tcW w:w="832" w:type="dxa"/>
            <w:vAlign w:val="center"/>
          </w:tcPr>
          <w:p w14:paraId="07DD3308" w14:textId="594FC61F" w:rsidR="00E47FBB" w:rsidRPr="00F10029" w:rsidRDefault="00E47FBB" w:rsidP="00E47FBB">
            <w:pPr>
              <w:jc w:val="center"/>
              <w:rPr>
                <w:rFonts w:cs="Times New Roman"/>
                <w:bCs/>
                <w:sz w:val="20"/>
                <w:szCs w:val="20"/>
              </w:rPr>
            </w:pPr>
            <w:r w:rsidRPr="00F10029">
              <w:rPr>
                <w:rFonts w:cs="Times New Roman"/>
                <w:sz w:val="20"/>
                <w:szCs w:val="20"/>
              </w:rPr>
              <w:t>-0.0511</w:t>
            </w:r>
          </w:p>
        </w:tc>
        <w:tc>
          <w:tcPr>
            <w:tcW w:w="841" w:type="dxa"/>
            <w:vAlign w:val="center"/>
          </w:tcPr>
          <w:p w14:paraId="4BFB7DF1" w14:textId="64708A8C" w:rsidR="00E47FBB" w:rsidRPr="00F10029" w:rsidRDefault="00E47FBB" w:rsidP="00E47FBB">
            <w:pPr>
              <w:jc w:val="center"/>
              <w:rPr>
                <w:rFonts w:cs="Times New Roman"/>
                <w:bCs/>
                <w:sz w:val="20"/>
                <w:szCs w:val="20"/>
              </w:rPr>
            </w:pPr>
            <w:r w:rsidRPr="00F10029">
              <w:rPr>
                <w:rFonts w:cs="Times New Roman"/>
                <w:sz w:val="20"/>
                <w:szCs w:val="20"/>
              </w:rPr>
              <w:t>-3.2702</w:t>
            </w:r>
          </w:p>
        </w:tc>
        <w:tc>
          <w:tcPr>
            <w:tcW w:w="833" w:type="dxa"/>
            <w:vAlign w:val="center"/>
          </w:tcPr>
          <w:p w14:paraId="0A1B5DB2" w14:textId="4C7FFD4B" w:rsidR="00E47FBB" w:rsidRPr="00F10029" w:rsidRDefault="00E47FBB" w:rsidP="00E47FBB">
            <w:pPr>
              <w:jc w:val="center"/>
              <w:rPr>
                <w:rFonts w:cs="Times New Roman"/>
                <w:bCs/>
                <w:sz w:val="20"/>
                <w:szCs w:val="20"/>
              </w:rPr>
            </w:pPr>
            <w:r w:rsidRPr="00F10029">
              <w:rPr>
                <w:rFonts w:cs="Times New Roman"/>
                <w:sz w:val="20"/>
                <w:szCs w:val="20"/>
              </w:rPr>
              <w:t>0.0111</w:t>
            </w:r>
          </w:p>
        </w:tc>
        <w:tc>
          <w:tcPr>
            <w:tcW w:w="834" w:type="dxa"/>
            <w:vAlign w:val="center"/>
          </w:tcPr>
          <w:p w14:paraId="56E632A8" w14:textId="6524F751" w:rsidR="00E47FBB" w:rsidRPr="00F10029" w:rsidRDefault="00E47FBB" w:rsidP="00E47FBB">
            <w:pPr>
              <w:jc w:val="center"/>
              <w:rPr>
                <w:rFonts w:cs="Times New Roman"/>
                <w:bCs/>
                <w:sz w:val="20"/>
                <w:szCs w:val="20"/>
              </w:rPr>
            </w:pPr>
            <w:r w:rsidRPr="00F10029">
              <w:rPr>
                <w:rFonts w:cs="Times New Roman"/>
                <w:sz w:val="20"/>
                <w:szCs w:val="20"/>
              </w:rPr>
              <w:t>0.0052</w:t>
            </w:r>
          </w:p>
        </w:tc>
        <w:tc>
          <w:tcPr>
            <w:tcW w:w="936" w:type="dxa"/>
            <w:vAlign w:val="center"/>
          </w:tcPr>
          <w:p w14:paraId="58322B53" w14:textId="5630CCCB" w:rsidR="00E47FBB" w:rsidRPr="00F10029" w:rsidRDefault="00E47FBB" w:rsidP="00E47FBB">
            <w:pPr>
              <w:jc w:val="center"/>
              <w:rPr>
                <w:rFonts w:cs="Times New Roman"/>
                <w:bCs/>
                <w:sz w:val="20"/>
                <w:szCs w:val="20"/>
              </w:rPr>
            </w:pPr>
            <w:r w:rsidRPr="00F10029">
              <w:rPr>
                <w:rFonts w:cs="Times New Roman"/>
                <w:sz w:val="20"/>
                <w:szCs w:val="20"/>
              </w:rPr>
              <w:t>-0.8329</w:t>
            </w:r>
          </w:p>
        </w:tc>
        <w:tc>
          <w:tcPr>
            <w:tcW w:w="992" w:type="dxa"/>
            <w:vAlign w:val="center"/>
          </w:tcPr>
          <w:p w14:paraId="17B4F642" w14:textId="292D76F1" w:rsidR="00E47FBB" w:rsidRPr="00F10029" w:rsidRDefault="00E47FBB" w:rsidP="00E47FBB">
            <w:pPr>
              <w:jc w:val="center"/>
              <w:rPr>
                <w:rFonts w:cs="Times New Roman"/>
                <w:bCs/>
                <w:sz w:val="20"/>
                <w:szCs w:val="20"/>
              </w:rPr>
            </w:pPr>
            <w:r w:rsidRPr="00F10029">
              <w:rPr>
                <w:rFonts w:cs="Times New Roman"/>
                <w:sz w:val="20"/>
                <w:szCs w:val="20"/>
              </w:rPr>
              <w:t>0.2122</w:t>
            </w:r>
          </w:p>
        </w:tc>
        <w:tc>
          <w:tcPr>
            <w:tcW w:w="992" w:type="dxa"/>
            <w:vAlign w:val="center"/>
          </w:tcPr>
          <w:p w14:paraId="1457F30F" w14:textId="5038C44E" w:rsidR="00E47FBB" w:rsidRPr="00F10029" w:rsidRDefault="00E47FBB" w:rsidP="00E47FBB">
            <w:pPr>
              <w:jc w:val="center"/>
              <w:rPr>
                <w:rFonts w:cs="Times New Roman"/>
                <w:bCs/>
                <w:sz w:val="20"/>
                <w:szCs w:val="20"/>
              </w:rPr>
            </w:pPr>
            <w:r w:rsidRPr="00F10029">
              <w:rPr>
                <w:rFonts w:cs="Times New Roman"/>
                <w:sz w:val="20"/>
                <w:szCs w:val="20"/>
              </w:rPr>
              <w:t>-0.0623</w:t>
            </w:r>
          </w:p>
        </w:tc>
        <w:tc>
          <w:tcPr>
            <w:tcW w:w="941" w:type="dxa"/>
            <w:vAlign w:val="center"/>
          </w:tcPr>
          <w:p w14:paraId="0D1438F4" w14:textId="2CCFCC7D" w:rsidR="00E47FBB" w:rsidRPr="00F10029" w:rsidRDefault="00E47FBB" w:rsidP="00E47FBB">
            <w:pPr>
              <w:jc w:val="center"/>
              <w:rPr>
                <w:rFonts w:cs="Times New Roman"/>
                <w:bCs/>
                <w:sz w:val="20"/>
                <w:szCs w:val="20"/>
              </w:rPr>
            </w:pPr>
            <w:r w:rsidRPr="00F10029">
              <w:rPr>
                <w:rFonts w:cs="Times New Roman"/>
                <w:sz w:val="20"/>
                <w:szCs w:val="20"/>
              </w:rPr>
              <w:t>-5.4603</w:t>
            </w:r>
          </w:p>
        </w:tc>
        <w:tc>
          <w:tcPr>
            <w:tcW w:w="772" w:type="dxa"/>
            <w:vAlign w:val="center"/>
          </w:tcPr>
          <w:p w14:paraId="5BD9AC73" w14:textId="3AE49D52" w:rsidR="00E47FBB" w:rsidRPr="00F10029" w:rsidRDefault="00E47FBB" w:rsidP="00E47FBB">
            <w:pPr>
              <w:jc w:val="center"/>
              <w:rPr>
                <w:rFonts w:cs="Times New Roman"/>
                <w:bCs/>
                <w:sz w:val="20"/>
                <w:szCs w:val="20"/>
              </w:rPr>
            </w:pPr>
            <w:r w:rsidRPr="00F10029">
              <w:rPr>
                <w:rFonts w:cs="Times New Roman"/>
                <w:sz w:val="20"/>
                <w:szCs w:val="20"/>
              </w:rPr>
              <w:t>0.0027</w:t>
            </w:r>
          </w:p>
        </w:tc>
        <w:tc>
          <w:tcPr>
            <w:tcW w:w="766" w:type="dxa"/>
            <w:vAlign w:val="center"/>
          </w:tcPr>
          <w:p w14:paraId="48B9A061" w14:textId="6F741852" w:rsidR="00E47FBB" w:rsidRPr="00F10029" w:rsidRDefault="00E47FBB" w:rsidP="00E47FBB">
            <w:pPr>
              <w:jc w:val="center"/>
              <w:rPr>
                <w:rFonts w:cs="Times New Roman"/>
                <w:bCs/>
                <w:sz w:val="20"/>
                <w:szCs w:val="20"/>
              </w:rPr>
            </w:pPr>
            <w:r w:rsidRPr="00F10029">
              <w:rPr>
                <w:rFonts w:cs="Times New Roman"/>
                <w:sz w:val="20"/>
                <w:szCs w:val="20"/>
              </w:rPr>
              <w:t>-0.0188</w:t>
            </w:r>
          </w:p>
        </w:tc>
        <w:tc>
          <w:tcPr>
            <w:tcW w:w="866" w:type="dxa"/>
            <w:vAlign w:val="center"/>
          </w:tcPr>
          <w:p w14:paraId="144A7299" w14:textId="53D5F135" w:rsidR="00E47FBB" w:rsidRPr="00F10029" w:rsidRDefault="00E47FBB" w:rsidP="00E47FBB">
            <w:pPr>
              <w:jc w:val="center"/>
              <w:rPr>
                <w:rFonts w:cs="Times New Roman"/>
                <w:bCs/>
                <w:sz w:val="20"/>
                <w:szCs w:val="20"/>
              </w:rPr>
            </w:pPr>
            <w:r w:rsidRPr="00F10029">
              <w:rPr>
                <w:rFonts w:cs="Times New Roman"/>
                <w:sz w:val="20"/>
                <w:szCs w:val="20"/>
              </w:rPr>
              <w:t>-1.8841</w:t>
            </w:r>
          </w:p>
        </w:tc>
        <w:tc>
          <w:tcPr>
            <w:tcW w:w="766" w:type="dxa"/>
            <w:vAlign w:val="center"/>
          </w:tcPr>
          <w:p w14:paraId="071B0465" w14:textId="51935BFD" w:rsidR="00E47FBB" w:rsidRPr="00F10029" w:rsidRDefault="00E47FBB" w:rsidP="00E47FBB">
            <w:pPr>
              <w:jc w:val="center"/>
              <w:rPr>
                <w:rFonts w:cs="Times New Roman"/>
                <w:bCs/>
                <w:sz w:val="20"/>
                <w:szCs w:val="20"/>
              </w:rPr>
            </w:pPr>
            <w:r w:rsidRPr="00F10029">
              <w:rPr>
                <w:rFonts w:cs="Times New Roman"/>
                <w:sz w:val="20"/>
                <w:szCs w:val="20"/>
              </w:rPr>
              <w:t>0.0402</w:t>
            </w:r>
          </w:p>
        </w:tc>
      </w:tr>
      <w:tr w:rsidR="00072552" w:rsidRPr="00F10029" w14:paraId="5EDFF92A" w14:textId="77777777" w:rsidTr="00072552">
        <w:tc>
          <w:tcPr>
            <w:tcW w:w="828" w:type="dxa"/>
            <w:vAlign w:val="center"/>
          </w:tcPr>
          <w:p w14:paraId="15F07E63" w14:textId="1D3CDBAB" w:rsidR="00E47FBB" w:rsidRPr="00F10029" w:rsidRDefault="00E47FBB" w:rsidP="00E47FBB">
            <w:pPr>
              <w:jc w:val="center"/>
              <w:rPr>
                <w:rFonts w:cs="Times New Roman"/>
                <w:bCs/>
                <w:sz w:val="20"/>
                <w:szCs w:val="20"/>
              </w:rPr>
            </w:pPr>
            <w:r w:rsidRPr="00F10029">
              <w:rPr>
                <w:rFonts w:cs="Times New Roman"/>
                <w:sz w:val="20"/>
                <w:szCs w:val="20"/>
              </w:rPr>
              <w:t>8</w:t>
            </w:r>
          </w:p>
        </w:tc>
        <w:tc>
          <w:tcPr>
            <w:tcW w:w="832" w:type="dxa"/>
            <w:vAlign w:val="center"/>
          </w:tcPr>
          <w:p w14:paraId="462D48D9" w14:textId="42C3F208" w:rsidR="00E47FBB" w:rsidRPr="00F10029" w:rsidRDefault="00E47FBB" w:rsidP="00E47FBB">
            <w:pPr>
              <w:jc w:val="center"/>
              <w:rPr>
                <w:rFonts w:cs="Times New Roman"/>
                <w:bCs/>
                <w:sz w:val="20"/>
                <w:szCs w:val="20"/>
              </w:rPr>
            </w:pPr>
            <w:r w:rsidRPr="00F10029">
              <w:rPr>
                <w:rFonts w:cs="Times New Roman"/>
                <w:sz w:val="20"/>
                <w:szCs w:val="20"/>
              </w:rPr>
              <w:t>-0.0384</w:t>
            </w:r>
          </w:p>
        </w:tc>
        <w:tc>
          <w:tcPr>
            <w:tcW w:w="841" w:type="dxa"/>
            <w:vAlign w:val="center"/>
          </w:tcPr>
          <w:p w14:paraId="52507F1A" w14:textId="7228FE9C" w:rsidR="00E47FBB" w:rsidRPr="00F10029" w:rsidRDefault="00E47FBB" w:rsidP="00E47FBB">
            <w:pPr>
              <w:jc w:val="center"/>
              <w:rPr>
                <w:rFonts w:cs="Times New Roman"/>
                <w:bCs/>
                <w:sz w:val="20"/>
                <w:szCs w:val="20"/>
              </w:rPr>
            </w:pPr>
            <w:r w:rsidRPr="00F10029">
              <w:rPr>
                <w:rFonts w:cs="Times New Roman"/>
                <w:sz w:val="20"/>
                <w:szCs w:val="20"/>
              </w:rPr>
              <w:t>-1.7771</w:t>
            </w:r>
          </w:p>
        </w:tc>
        <w:tc>
          <w:tcPr>
            <w:tcW w:w="833" w:type="dxa"/>
            <w:vAlign w:val="center"/>
          </w:tcPr>
          <w:p w14:paraId="7528F337" w14:textId="29BCA17B" w:rsidR="00E47FBB" w:rsidRPr="00F10029" w:rsidRDefault="00E47FBB" w:rsidP="00E47FBB">
            <w:pPr>
              <w:jc w:val="center"/>
              <w:rPr>
                <w:rFonts w:cs="Times New Roman"/>
                <w:bCs/>
                <w:sz w:val="20"/>
                <w:szCs w:val="20"/>
              </w:rPr>
            </w:pPr>
            <w:r w:rsidRPr="00F10029">
              <w:rPr>
                <w:rFonts w:cs="Times New Roman"/>
                <w:sz w:val="20"/>
                <w:szCs w:val="20"/>
              </w:rPr>
              <w:t>0.0679</w:t>
            </w:r>
          </w:p>
        </w:tc>
        <w:tc>
          <w:tcPr>
            <w:tcW w:w="834" w:type="dxa"/>
            <w:vAlign w:val="center"/>
          </w:tcPr>
          <w:p w14:paraId="3F077EF7" w14:textId="448BBA6F" w:rsidR="00E47FBB" w:rsidRPr="00F10029" w:rsidRDefault="00E47FBB" w:rsidP="00E47FBB">
            <w:pPr>
              <w:jc w:val="center"/>
              <w:rPr>
                <w:rFonts w:cs="Times New Roman"/>
                <w:bCs/>
                <w:sz w:val="20"/>
                <w:szCs w:val="20"/>
              </w:rPr>
            </w:pPr>
            <w:r w:rsidRPr="00F10029">
              <w:rPr>
                <w:rFonts w:cs="Times New Roman"/>
                <w:sz w:val="20"/>
                <w:szCs w:val="20"/>
              </w:rPr>
              <w:t>-0.0375</w:t>
            </w:r>
          </w:p>
        </w:tc>
        <w:tc>
          <w:tcPr>
            <w:tcW w:w="936" w:type="dxa"/>
            <w:vAlign w:val="center"/>
          </w:tcPr>
          <w:p w14:paraId="1D9E987C" w14:textId="3F7C0A7E" w:rsidR="00E47FBB" w:rsidRPr="00F10029" w:rsidRDefault="00E47FBB" w:rsidP="00E47FBB">
            <w:pPr>
              <w:jc w:val="center"/>
              <w:rPr>
                <w:rFonts w:cs="Times New Roman"/>
                <w:bCs/>
                <w:sz w:val="20"/>
                <w:szCs w:val="20"/>
              </w:rPr>
            </w:pPr>
            <w:r w:rsidRPr="00F10029">
              <w:rPr>
                <w:rFonts w:cs="Times New Roman"/>
                <w:sz w:val="20"/>
                <w:szCs w:val="20"/>
              </w:rPr>
              <w:t>-5.3251</w:t>
            </w:r>
          </w:p>
        </w:tc>
        <w:tc>
          <w:tcPr>
            <w:tcW w:w="992" w:type="dxa"/>
            <w:vAlign w:val="center"/>
          </w:tcPr>
          <w:p w14:paraId="684C7CD9" w14:textId="14AB5945" w:rsidR="00E47FBB" w:rsidRPr="00F10029" w:rsidRDefault="00E47FBB" w:rsidP="00E47FBB">
            <w:pPr>
              <w:jc w:val="center"/>
              <w:rPr>
                <w:rFonts w:cs="Times New Roman"/>
                <w:bCs/>
                <w:sz w:val="20"/>
                <w:szCs w:val="20"/>
              </w:rPr>
            </w:pPr>
            <w:r w:rsidRPr="00F10029">
              <w:rPr>
                <w:rFonts w:cs="Times New Roman"/>
                <w:sz w:val="20"/>
                <w:szCs w:val="20"/>
              </w:rPr>
              <w:t>0.0002</w:t>
            </w:r>
          </w:p>
        </w:tc>
        <w:tc>
          <w:tcPr>
            <w:tcW w:w="992" w:type="dxa"/>
            <w:vAlign w:val="center"/>
          </w:tcPr>
          <w:p w14:paraId="595E8CB0" w14:textId="0C8C6936" w:rsidR="00E47FBB" w:rsidRPr="00F10029" w:rsidRDefault="00E47FBB" w:rsidP="00E47FBB">
            <w:pPr>
              <w:jc w:val="center"/>
              <w:rPr>
                <w:rFonts w:cs="Times New Roman"/>
                <w:bCs/>
                <w:sz w:val="20"/>
                <w:szCs w:val="20"/>
              </w:rPr>
            </w:pPr>
            <w:r w:rsidRPr="00F10029">
              <w:rPr>
                <w:rFonts w:cs="Times New Roman"/>
                <w:sz w:val="20"/>
                <w:szCs w:val="20"/>
              </w:rPr>
              <w:t>-0.0632</w:t>
            </w:r>
          </w:p>
        </w:tc>
        <w:tc>
          <w:tcPr>
            <w:tcW w:w="941" w:type="dxa"/>
            <w:vAlign w:val="center"/>
          </w:tcPr>
          <w:p w14:paraId="1B481F72" w14:textId="01ACF87D" w:rsidR="00E47FBB" w:rsidRPr="00F10029" w:rsidRDefault="00E47FBB" w:rsidP="00E47FBB">
            <w:pPr>
              <w:jc w:val="center"/>
              <w:rPr>
                <w:rFonts w:cs="Times New Roman"/>
                <w:bCs/>
                <w:sz w:val="20"/>
                <w:szCs w:val="20"/>
              </w:rPr>
            </w:pPr>
            <w:r w:rsidRPr="00F10029">
              <w:rPr>
                <w:rFonts w:cs="Times New Roman"/>
                <w:sz w:val="20"/>
                <w:szCs w:val="20"/>
              </w:rPr>
              <w:t>-5.0189</w:t>
            </w:r>
          </w:p>
        </w:tc>
        <w:tc>
          <w:tcPr>
            <w:tcW w:w="772" w:type="dxa"/>
            <w:vAlign w:val="center"/>
          </w:tcPr>
          <w:p w14:paraId="38EB1448" w14:textId="63C58BE7" w:rsidR="00E47FBB" w:rsidRPr="00F10029" w:rsidRDefault="00E47FBB" w:rsidP="00E47FBB">
            <w:pPr>
              <w:jc w:val="center"/>
              <w:rPr>
                <w:rFonts w:cs="Times New Roman"/>
                <w:bCs/>
                <w:sz w:val="20"/>
                <w:szCs w:val="20"/>
              </w:rPr>
            </w:pPr>
            <w:r w:rsidRPr="00F10029">
              <w:rPr>
                <w:rFonts w:cs="Times New Roman"/>
                <w:sz w:val="20"/>
                <w:szCs w:val="20"/>
              </w:rPr>
              <w:t>0.0037</w:t>
            </w:r>
          </w:p>
        </w:tc>
        <w:tc>
          <w:tcPr>
            <w:tcW w:w="766" w:type="dxa"/>
            <w:vAlign w:val="center"/>
          </w:tcPr>
          <w:p w14:paraId="2D75ED04" w14:textId="2C951B7A" w:rsidR="00E47FBB" w:rsidRPr="00F10029" w:rsidRDefault="00E47FBB" w:rsidP="00E47FBB">
            <w:pPr>
              <w:jc w:val="center"/>
              <w:rPr>
                <w:rFonts w:cs="Times New Roman"/>
                <w:bCs/>
                <w:sz w:val="20"/>
                <w:szCs w:val="20"/>
              </w:rPr>
            </w:pPr>
            <w:r w:rsidRPr="00F10029">
              <w:rPr>
                <w:rFonts w:cs="Times New Roman"/>
                <w:sz w:val="20"/>
                <w:szCs w:val="20"/>
              </w:rPr>
              <w:t>-0.0515</w:t>
            </w:r>
          </w:p>
        </w:tc>
        <w:tc>
          <w:tcPr>
            <w:tcW w:w="866" w:type="dxa"/>
            <w:vAlign w:val="center"/>
          </w:tcPr>
          <w:p w14:paraId="20128AA5" w14:textId="6F4BD9C7" w:rsidR="00E47FBB" w:rsidRPr="00F10029" w:rsidRDefault="00E47FBB" w:rsidP="00E47FBB">
            <w:pPr>
              <w:jc w:val="center"/>
              <w:rPr>
                <w:rFonts w:cs="Times New Roman"/>
                <w:bCs/>
                <w:sz w:val="20"/>
                <w:szCs w:val="20"/>
              </w:rPr>
            </w:pPr>
            <w:r w:rsidRPr="00F10029">
              <w:rPr>
                <w:rFonts w:cs="Times New Roman"/>
                <w:sz w:val="20"/>
                <w:szCs w:val="20"/>
              </w:rPr>
              <w:t>-7.46581</w:t>
            </w:r>
          </w:p>
        </w:tc>
        <w:tc>
          <w:tcPr>
            <w:tcW w:w="766" w:type="dxa"/>
            <w:vAlign w:val="center"/>
          </w:tcPr>
          <w:p w14:paraId="025DADC4" w14:textId="4BEEABEA" w:rsidR="00E47FBB" w:rsidRPr="00F10029" w:rsidRDefault="00E47FBB" w:rsidP="00E47FBB">
            <w:pPr>
              <w:jc w:val="center"/>
              <w:rPr>
                <w:rFonts w:cs="Times New Roman"/>
                <w:bCs/>
                <w:sz w:val="20"/>
                <w:szCs w:val="20"/>
              </w:rPr>
            </w:pPr>
            <w:r w:rsidRPr="00F10029">
              <w:rPr>
                <w:rFonts w:cs="Times New Roman"/>
                <w:sz w:val="20"/>
                <w:szCs w:val="20"/>
              </w:rPr>
              <w:t>0.0000</w:t>
            </w:r>
          </w:p>
        </w:tc>
      </w:tr>
      <w:tr w:rsidR="00072552" w:rsidRPr="00F10029" w14:paraId="5F3645C7" w14:textId="77777777" w:rsidTr="00053F1F">
        <w:tc>
          <w:tcPr>
            <w:tcW w:w="828" w:type="dxa"/>
            <w:vAlign w:val="center"/>
          </w:tcPr>
          <w:p w14:paraId="5166AC9B" w14:textId="1E461D55" w:rsidR="00E47FBB" w:rsidRPr="00F10029" w:rsidRDefault="00E47FBB" w:rsidP="00E47FBB">
            <w:pPr>
              <w:jc w:val="center"/>
              <w:rPr>
                <w:rFonts w:cs="Times New Roman"/>
                <w:bCs/>
                <w:sz w:val="20"/>
                <w:szCs w:val="20"/>
              </w:rPr>
            </w:pPr>
            <w:r w:rsidRPr="00F10029">
              <w:rPr>
                <w:rFonts w:cs="Times New Roman"/>
                <w:sz w:val="20"/>
                <w:szCs w:val="20"/>
              </w:rPr>
              <w:t>9</w:t>
            </w:r>
          </w:p>
        </w:tc>
        <w:tc>
          <w:tcPr>
            <w:tcW w:w="832" w:type="dxa"/>
            <w:vAlign w:val="center"/>
          </w:tcPr>
          <w:p w14:paraId="6AF899D0" w14:textId="02DFF9E2" w:rsidR="00E47FBB" w:rsidRPr="00F10029" w:rsidRDefault="00E47FBB" w:rsidP="00E47FBB">
            <w:pPr>
              <w:jc w:val="center"/>
              <w:rPr>
                <w:rFonts w:cs="Times New Roman"/>
                <w:bCs/>
                <w:sz w:val="20"/>
                <w:szCs w:val="20"/>
              </w:rPr>
            </w:pPr>
            <w:r w:rsidRPr="00F10029">
              <w:rPr>
                <w:rFonts w:cs="Times New Roman"/>
                <w:sz w:val="20"/>
                <w:szCs w:val="20"/>
              </w:rPr>
              <w:t>-0.0007</w:t>
            </w:r>
          </w:p>
        </w:tc>
        <w:tc>
          <w:tcPr>
            <w:tcW w:w="841" w:type="dxa"/>
            <w:vAlign w:val="center"/>
          </w:tcPr>
          <w:p w14:paraId="5E31A2CB" w14:textId="658208D3" w:rsidR="00E47FBB" w:rsidRPr="00F10029" w:rsidRDefault="00E47FBB" w:rsidP="00E47FBB">
            <w:pPr>
              <w:jc w:val="center"/>
              <w:rPr>
                <w:rFonts w:cs="Times New Roman"/>
                <w:bCs/>
                <w:sz w:val="20"/>
                <w:szCs w:val="20"/>
              </w:rPr>
            </w:pPr>
            <w:r w:rsidRPr="00F10029">
              <w:rPr>
                <w:rFonts w:cs="Times New Roman"/>
                <w:sz w:val="20"/>
                <w:szCs w:val="20"/>
              </w:rPr>
              <w:t>-0.0360</w:t>
            </w:r>
          </w:p>
        </w:tc>
        <w:tc>
          <w:tcPr>
            <w:tcW w:w="833" w:type="dxa"/>
            <w:vAlign w:val="center"/>
          </w:tcPr>
          <w:p w14:paraId="313F24AE" w14:textId="4899698F" w:rsidR="00E47FBB" w:rsidRPr="00F10029" w:rsidRDefault="00E47FBB" w:rsidP="00E47FBB">
            <w:pPr>
              <w:jc w:val="center"/>
              <w:rPr>
                <w:rFonts w:cs="Times New Roman"/>
                <w:bCs/>
                <w:sz w:val="20"/>
                <w:szCs w:val="20"/>
              </w:rPr>
            </w:pPr>
            <w:r w:rsidRPr="00F10029">
              <w:rPr>
                <w:rFonts w:cs="Times New Roman"/>
                <w:sz w:val="20"/>
                <w:szCs w:val="20"/>
              </w:rPr>
              <w:t>0.4863</w:t>
            </w:r>
          </w:p>
        </w:tc>
        <w:tc>
          <w:tcPr>
            <w:tcW w:w="834" w:type="dxa"/>
            <w:vAlign w:val="center"/>
          </w:tcPr>
          <w:p w14:paraId="5E6F065E" w14:textId="40737ACD" w:rsidR="00E47FBB" w:rsidRPr="00F10029" w:rsidRDefault="00E47FBB" w:rsidP="00E47FBB">
            <w:pPr>
              <w:jc w:val="center"/>
              <w:rPr>
                <w:rFonts w:cs="Times New Roman"/>
                <w:bCs/>
                <w:sz w:val="20"/>
                <w:szCs w:val="20"/>
              </w:rPr>
            </w:pPr>
            <w:r w:rsidRPr="00F10029">
              <w:rPr>
                <w:rFonts w:cs="Times New Roman"/>
                <w:sz w:val="20"/>
                <w:szCs w:val="20"/>
              </w:rPr>
              <w:t>-0.0135</w:t>
            </w:r>
          </w:p>
        </w:tc>
        <w:tc>
          <w:tcPr>
            <w:tcW w:w="936" w:type="dxa"/>
            <w:vAlign w:val="center"/>
          </w:tcPr>
          <w:p w14:paraId="64543836" w14:textId="293ADADF" w:rsidR="00E47FBB" w:rsidRPr="00F10029" w:rsidRDefault="00E47FBB" w:rsidP="00E47FBB">
            <w:pPr>
              <w:jc w:val="center"/>
              <w:rPr>
                <w:rFonts w:cs="Times New Roman"/>
                <w:bCs/>
                <w:sz w:val="20"/>
                <w:szCs w:val="20"/>
              </w:rPr>
            </w:pPr>
            <w:r w:rsidRPr="00F10029">
              <w:rPr>
                <w:rFonts w:cs="Times New Roman"/>
                <w:sz w:val="20"/>
                <w:szCs w:val="20"/>
              </w:rPr>
              <w:t>-1.1586</w:t>
            </w:r>
          </w:p>
        </w:tc>
        <w:tc>
          <w:tcPr>
            <w:tcW w:w="992" w:type="dxa"/>
            <w:vAlign w:val="center"/>
          </w:tcPr>
          <w:p w14:paraId="0DFD5752" w14:textId="51EB7307" w:rsidR="00E47FBB" w:rsidRPr="00F10029" w:rsidRDefault="00E47FBB" w:rsidP="00E47FBB">
            <w:pPr>
              <w:jc w:val="center"/>
              <w:rPr>
                <w:rFonts w:cs="Times New Roman"/>
                <w:bCs/>
                <w:sz w:val="20"/>
                <w:szCs w:val="20"/>
              </w:rPr>
            </w:pPr>
            <w:r w:rsidRPr="00F10029">
              <w:rPr>
                <w:rFonts w:cs="Times New Roman"/>
                <w:sz w:val="20"/>
                <w:szCs w:val="20"/>
              </w:rPr>
              <w:t>0.1368</w:t>
            </w:r>
          </w:p>
        </w:tc>
        <w:tc>
          <w:tcPr>
            <w:tcW w:w="992" w:type="dxa"/>
            <w:vAlign w:val="center"/>
          </w:tcPr>
          <w:p w14:paraId="4B0BA740" w14:textId="50A8C176" w:rsidR="00E47FBB" w:rsidRPr="00F10029" w:rsidRDefault="00E47FBB" w:rsidP="00E47FBB">
            <w:pPr>
              <w:jc w:val="center"/>
              <w:rPr>
                <w:rFonts w:cs="Times New Roman"/>
                <w:bCs/>
                <w:sz w:val="20"/>
                <w:szCs w:val="20"/>
              </w:rPr>
            </w:pPr>
            <w:r w:rsidRPr="00F10029">
              <w:rPr>
                <w:rFonts w:cs="Times New Roman"/>
                <w:sz w:val="20"/>
                <w:szCs w:val="20"/>
              </w:rPr>
              <w:t>-0.0268</w:t>
            </w:r>
          </w:p>
        </w:tc>
        <w:tc>
          <w:tcPr>
            <w:tcW w:w="941" w:type="dxa"/>
            <w:vAlign w:val="center"/>
          </w:tcPr>
          <w:p w14:paraId="191C2083" w14:textId="7512B79C" w:rsidR="00E47FBB" w:rsidRPr="00F10029" w:rsidRDefault="00E47FBB" w:rsidP="00E47FBB">
            <w:pPr>
              <w:jc w:val="center"/>
              <w:rPr>
                <w:rFonts w:cs="Times New Roman"/>
                <w:bCs/>
                <w:sz w:val="20"/>
                <w:szCs w:val="20"/>
              </w:rPr>
            </w:pPr>
            <w:r w:rsidRPr="00F10029">
              <w:rPr>
                <w:rFonts w:cs="Times New Roman"/>
                <w:sz w:val="20"/>
                <w:szCs w:val="20"/>
              </w:rPr>
              <w:t>-1.6135</w:t>
            </w:r>
          </w:p>
        </w:tc>
        <w:tc>
          <w:tcPr>
            <w:tcW w:w="772" w:type="dxa"/>
            <w:vAlign w:val="center"/>
          </w:tcPr>
          <w:p w14:paraId="67180865" w14:textId="6A1AE384" w:rsidR="00E47FBB" w:rsidRPr="00F10029" w:rsidRDefault="00E47FBB" w:rsidP="00E47FBB">
            <w:pPr>
              <w:jc w:val="center"/>
              <w:rPr>
                <w:rFonts w:cs="Times New Roman"/>
                <w:bCs/>
                <w:sz w:val="20"/>
                <w:szCs w:val="20"/>
              </w:rPr>
            </w:pPr>
            <w:r w:rsidRPr="00F10029">
              <w:rPr>
                <w:rFonts w:cs="Times New Roman"/>
                <w:sz w:val="20"/>
                <w:szCs w:val="20"/>
              </w:rPr>
              <w:t>0.0910</w:t>
            </w:r>
          </w:p>
        </w:tc>
        <w:tc>
          <w:tcPr>
            <w:tcW w:w="766" w:type="dxa"/>
            <w:vAlign w:val="center"/>
          </w:tcPr>
          <w:p w14:paraId="2006FD7C" w14:textId="249724EF" w:rsidR="00E47FBB" w:rsidRPr="00F10029" w:rsidRDefault="00E47FBB" w:rsidP="00E47FBB">
            <w:pPr>
              <w:jc w:val="center"/>
              <w:rPr>
                <w:rFonts w:cs="Times New Roman"/>
                <w:bCs/>
                <w:sz w:val="20"/>
                <w:szCs w:val="20"/>
              </w:rPr>
            </w:pPr>
            <w:r w:rsidRPr="00F10029">
              <w:rPr>
                <w:rFonts w:cs="Times New Roman"/>
                <w:sz w:val="20"/>
                <w:szCs w:val="20"/>
              </w:rPr>
              <w:t>-0.0182</w:t>
            </w:r>
          </w:p>
        </w:tc>
        <w:tc>
          <w:tcPr>
            <w:tcW w:w="866" w:type="dxa"/>
            <w:vAlign w:val="center"/>
          </w:tcPr>
          <w:p w14:paraId="47373C03" w14:textId="5570A077" w:rsidR="00E47FBB" w:rsidRPr="00F10029" w:rsidRDefault="00E47FBB" w:rsidP="00E47FBB">
            <w:pPr>
              <w:jc w:val="center"/>
              <w:rPr>
                <w:rFonts w:cs="Times New Roman"/>
                <w:bCs/>
                <w:sz w:val="20"/>
                <w:szCs w:val="20"/>
              </w:rPr>
            </w:pPr>
            <w:r w:rsidRPr="00F10029">
              <w:rPr>
                <w:rFonts w:cs="Times New Roman"/>
                <w:sz w:val="20"/>
                <w:szCs w:val="20"/>
              </w:rPr>
              <w:t>-1.7520</w:t>
            </w:r>
          </w:p>
        </w:tc>
        <w:tc>
          <w:tcPr>
            <w:tcW w:w="766" w:type="dxa"/>
            <w:vAlign w:val="center"/>
          </w:tcPr>
          <w:p w14:paraId="2D06213F" w14:textId="5CC8E58C" w:rsidR="00E47FBB" w:rsidRPr="00F10029" w:rsidRDefault="00E47FBB" w:rsidP="00E47FBB">
            <w:pPr>
              <w:jc w:val="center"/>
              <w:rPr>
                <w:rFonts w:cs="Times New Roman"/>
                <w:bCs/>
                <w:sz w:val="20"/>
                <w:szCs w:val="20"/>
              </w:rPr>
            </w:pPr>
            <w:r w:rsidRPr="00F10029">
              <w:rPr>
                <w:rFonts w:cs="Times New Roman"/>
                <w:sz w:val="20"/>
                <w:szCs w:val="20"/>
              </w:rPr>
              <w:t>0.0508</w:t>
            </w:r>
          </w:p>
        </w:tc>
      </w:tr>
      <w:tr w:rsidR="00072552" w:rsidRPr="00F10029" w14:paraId="7DDD87D9" w14:textId="77777777" w:rsidTr="00053F1F">
        <w:tc>
          <w:tcPr>
            <w:tcW w:w="828" w:type="dxa"/>
            <w:tcBorders>
              <w:bottom w:val="single" w:sz="4" w:space="0" w:color="auto"/>
            </w:tcBorders>
            <w:vAlign w:val="center"/>
          </w:tcPr>
          <w:p w14:paraId="401FBF9B" w14:textId="221B106A" w:rsidR="00E47FBB" w:rsidRPr="00F10029" w:rsidRDefault="00E47FBB" w:rsidP="00E47FBB">
            <w:pPr>
              <w:jc w:val="center"/>
              <w:rPr>
                <w:rFonts w:cs="Times New Roman"/>
                <w:bCs/>
                <w:sz w:val="20"/>
                <w:szCs w:val="20"/>
              </w:rPr>
            </w:pPr>
            <w:r w:rsidRPr="00F10029">
              <w:rPr>
                <w:rFonts w:cs="Times New Roman"/>
                <w:sz w:val="20"/>
                <w:szCs w:val="20"/>
              </w:rPr>
              <w:t>10</w:t>
            </w:r>
          </w:p>
        </w:tc>
        <w:tc>
          <w:tcPr>
            <w:tcW w:w="832" w:type="dxa"/>
            <w:tcBorders>
              <w:bottom w:val="single" w:sz="4" w:space="0" w:color="auto"/>
            </w:tcBorders>
            <w:vAlign w:val="center"/>
          </w:tcPr>
          <w:p w14:paraId="1D066EC2" w14:textId="03518336" w:rsidR="00E47FBB" w:rsidRPr="00F10029" w:rsidRDefault="00E47FBB" w:rsidP="00E47FBB">
            <w:pPr>
              <w:jc w:val="center"/>
              <w:rPr>
                <w:rFonts w:cs="Times New Roman"/>
                <w:bCs/>
                <w:sz w:val="20"/>
                <w:szCs w:val="20"/>
              </w:rPr>
            </w:pPr>
            <w:r w:rsidRPr="00F10029">
              <w:rPr>
                <w:rFonts w:cs="Times New Roman"/>
                <w:sz w:val="20"/>
                <w:szCs w:val="20"/>
              </w:rPr>
              <w:t>-0.0434</w:t>
            </w:r>
          </w:p>
        </w:tc>
        <w:tc>
          <w:tcPr>
            <w:tcW w:w="841" w:type="dxa"/>
            <w:tcBorders>
              <w:bottom w:val="single" w:sz="4" w:space="0" w:color="auto"/>
            </w:tcBorders>
            <w:vAlign w:val="center"/>
          </w:tcPr>
          <w:p w14:paraId="1AD3CCF7" w14:textId="692353C8" w:rsidR="00E47FBB" w:rsidRPr="00F10029" w:rsidRDefault="00E47FBB" w:rsidP="00E47FBB">
            <w:pPr>
              <w:jc w:val="center"/>
              <w:rPr>
                <w:rFonts w:cs="Times New Roman"/>
                <w:bCs/>
                <w:sz w:val="20"/>
                <w:szCs w:val="20"/>
              </w:rPr>
            </w:pPr>
            <w:r w:rsidRPr="00F10029">
              <w:rPr>
                <w:rFonts w:cs="Times New Roman"/>
                <w:sz w:val="20"/>
                <w:szCs w:val="20"/>
              </w:rPr>
              <w:t>-4.1571</w:t>
            </w:r>
          </w:p>
        </w:tc>
        <w:tc>
          <w:tcPr>
            <w:tcW w:w="833" w:type="dxa"/>
            <w:tcBorders>
              <w:bottom w:val="single" w:sz="4" w:space="0" w:color="auto"/>
            </w:tcBorders>
            <w:vAlign w:val="center"/>
          </w:tcPr>
          <w:p w14:paraId="4A6AD3F5" w14:textId="0B51FD19" w:rsidR="00E47FBB" w:rsidRPr="00F10029" w:rsidRDefault="00E47FBB" w:rsidP="00E47FBB">
            <w:pPr>
              <w:jc w:val="center"/>
              <w:rPr>
                <w:rFonts w:cs="Times New Roman"/>
                <w:bCs/>
                <w:sz w:val="20"/>
                <w:szCs w:val="20"/>
              </w:rPr>
            </w:pPr>
            <w:r w:rsidRPr="00F10029">
              <w:rPr>
                <w:rFonts w:cs="Times New Roman"/>
                <w:sz w:val="20"/>
                <w:szCs w:val="20"/>
              </w:rPr>
              <w:t>0.0044</w:t>
            </w:r>
          </w:p>
        </w:tc>
        <w:tc>
          <w:tcPr>
            <w:tcW w:w="834" w:type="dxa"/>
            <w:tcBorders>
              <w:bottom w:val="single" w:sz="4" w:space="0" w:color="auto"/>
            </w:tcBorders>
            <w:vAlign w:val="center"/>
          </w:tcPr>
          <w:p w14:paraId="7F5228A1" w14:textId="63675F9A" w:rsidR="00E47FBB" w:rsidRPr="00F10029" w:rsidRDefault="00E47FBB" w:rsidP="00E47FBB">
            <w:pPr>
              <w:jc w:val="center"/>
              <w:rPr>
                <w:rFonts w:cs="Times New Roman"/>
                <w:bCs/>
                <w:sz w:val="20"/>
                <w:szCs w:val="20"/>
              </w:rPr>
            </w:pPr>
            <w:r w:rsidRPr="00F10029">
              <w:rPr>
                <w:rFonts w:cs="Times New Roman"/>
                <w:sz w:val="20"/>
                <w:szCs w:val="20"/>
              </w:rPr>
              <w:t>-0.0374</w:t>
            </w:r>
          </w:p>
        </w:tc>
        <w:tc>
          <w:tcPr>
            <w:tcW w:w="936" w:type="dxa"/>
            <w:tcBorders>
              <w:bottom w:val="single" w:sz="4" w:space="0" w:color="auto"/>
            </w:tcBorders>
            <w:vAlign w:val="center"/>
          </w:tcPr>
          <w:p w14:paraId="0DEDA566" w14:textId="0FCB87A4" w:rsidR="00E47FBB" w:rsidRPr="00F10029" w:rsidRDefault="00E47FBB" w:rsidP="00E47FBB">
            <w:pPr>
              <w:jc w:val="center"/>
              <w:rPr>
                <w:rFonts w:cs="Times New Roman"/>
                <w:bCs/>
                <w:sz w:val="20"/>
                <w:szCs w:val="20"/>
              </w:rPr>
            </w:pPr>
            <w:r w:rsidRPr="00F10029">
              <w:rPr>
                <w:rFonts w:cs="Times New Roman"/>
                <w:sz w:val="20"/>
                <w:szCs w:val="20"/>
              </w:rPr>
              <w:t>-4.2041</w:t>
            </w:r>
          </w:p>
        </w:tc>
        <w:tc>
          <w:tcPr>
            <w:tcW w:w="992" w:type="dxa"/>
            <w:tcBorders>
              <w:bottom w:val="single" w:sz="4" w:space="0" w:color="auto"/>
            </w:tcBorders>
            <w:vAlign w:val="center"/>
          </w:tcPr>
          <w:p w14:paraId="70EEE5BC" w14:textId="0E1F5940" w:rsidR="00E47FBB" w:rsidRPr="00F10029" w:rsidRDefault="00E47FBB" w:rsidP="00E47FBB">
            <w:pPr>
              <w:jc w:val="center"/>
              <w:rPr>
                <w:rFonts w:cs="Times New Roman"/>
                <w:bCs/>
                <w:sz w:val="20"/>
                <w:szCs w:val="20"/>
              </w:rPr>
            </w:pPr>
            <w:r w:rsidRPr="00F10029">
              <w:rPr>
                <w:rFonts w:cs="Times New Roman"/>
                <w:sz w:val="20"/>
                <w:szCs w:val="20"/>
              </w:rPr>
              <w:t>0.0009</w:t>
            </w:r>
          </w:p>
        </w:tc>
        <w:tc>
          <w:tcPr>
            <w:tcW w:w="992" w:type="dxa"/>
            <w:tcBorders>
              <w:bottom w:val="single" w:sz="4" w:space="0" w:color="auto"/>
            </w:tcBorders>
            <w:vAlign w:val="center"/>
          </w:tcPr>
          <w:p w14:paraId="17F05988" w14:textId="63AFA857" w:rsidR="00E47FBB" w:rsidRPr="00F10029" w:rsidRDefault="00E47FBB" w:rsidP="00E47FBB">
            <w:pPr>
              <w:jc w:val="center"/>
              <w:rPr>
                <w:rFonts w:cs="Times New Roman"/>
                <w:bCs/>
                <w:sz w:val="20"/>
                <w:szCs w:val="20"/>
              </w:rPr>
            </w:pPr>
            <w:r w:rsidRPr="00F10029">
              <w:rPr>
                <w:rFonts w:cs="Times New Roman"/>
                <w:sz w:val="20"/>
                <w:szCs w:val="20"/>
              </w:rPr>
              <w:t>-0.0547</w:t>
            </w:r>
          </w:p>
        </w:tc>
        <w:tc>
          <w:tcPr>
            <w:tcW w:w="941" w:type="dxa"/>
            <w:tcBorders>
              <w:bottom w:val="single" w:sz="4" w:space="0" w:color="auto"/>
            </w:tcBorders>
            <w:vAlign w:val="center"/>
          </w:tcPr>
          <w:p w14:paraId="7AA7702C" w14:textId="64DA055E" w:rsidR="00E47FBB" w:rsidRPr="00F10029" w:rsidRDefault="00E47FBB" w:rsidP="00E47FBB">
            <w:pPr>
              <w:jc w:val="center"/>
              <w:rPr>
                <w:rFonts w:cs="Times New Roman"/>
                <w:bCs/>
                <w:sz w:val="20"/>
                <w:szCs w:val="20"/>
              </w:rPr>
            </w:pPr>
            <w:r w:rsidRPr="00F10029">
              <w:rPr>
                <w:rFonts w:cs="Times New Roman"/>
                <w:sz w:val="20"/>
                <w:szCs w:val="20"/>
              </w:rPr>
              <w:t>-6.0385</w:t>
            </w:r>
          </w:p>
        </w:tc>
        <w:tc>
          <w:tcPr>
            <w:tcW w:w="772" w:type="dxa"/>
            <w:tcBorders>
              <w:bottom w:val="single" w:sz="4" w:space="0" w:color="auto"/>
            </w:tcBorders>
            <w:vAlign w:val="center"/>
          </w:tcPr>
          <w:p w14:paraId="048749EA" w14:textId="1B0CD957" w:rsidR="00E47FBB" w:rsidRPr="00F10029" w:rsidRDefault="00E47FBB" w:rsidP="00E47FBB">
            <w:pPr>
              <w:jc w:val="center"/>
              <w:rPr>
                <w:rFonts w:cs="Times New Roman"/>
                <w:bCs/>
                <w:sz w:val="20"/>
                <w:szCs w:val="20"/>
              </w:rPr>
            </w:pPr>
            <w:r w:rsidRPr="00F10029">
              <w:rPr>
                <w:rFonts w:cs="Times New Roman"/>
                <w:sz w:val="20"/>
                <w:szCs w:val="20"/>
              </w:rPr>
              <w:t>0.0019</w:t>
            </w:r>
          </w:p>
        </w:tc>
        <w:tc>
          <w:tcPr>
            <w:tcW w:w="766" w:type="dxa"/>
            <w:tcBorders>
              <w:bottom w:val="single" w:sz="4" w:space="0" w:color="auto"/>
            </w:tcBorders>
            <w:vAlign w:val="center"/>
          </w:tcPr>
          <w:p w14:paraId="552B4849" w14:textId="56FAB18D" w:rsidR="00E47FBB" w:rsidRPr="00F10029" w:rsidRDefault="00E47FBB" w:rsidP="00E47FBB">
            <w:pPr>
              <w:jc w:val="center"/>
              <w:rPr>
                <w:rFonts w:cs="Times New Roman"/>
                <w:bCs/>
                <w:sz w:val="20"/>
                <w:szCs w:val="20"/>
              </w:rPr>
            </w:pPr>
            <w:r w:rsidRPr="00F10029">
              <w:rPr>
                <w:rFonts w:cs="Times New Roman"/>
                <w:sz w:val="20"/>
                <w:szCs w:val="20"/>
              </w:rPr>
              <w:t>-0.0482</w:t>
            </w:r>
          </w:p>
        </w:tc>
        <w:tc>
          <w:tcPr>
            <w:tcW w:w="866" w:type="dxa"/>
            <w:tcBorders>
              <w:bottom w:val="single" w:sz="4" w:space="0" w:color="auto"/>
            </w:tcBorders>
            <w:vAlign w:val="center"/>
          </w:tcPr>
          <w:p w14:paraId="7880EDC9" w14:textId="6A7A4AFB" w:rsidR="00E47FBB" w:rsidRPr="00F10029" w:rsidRDefault="00E47FBB" w:rsidP="00E47FBB">
            <w:pPr>
              <w:jc w:val="center"/>
              <w:rPr>
                <w:rFonts w:cs="Times New Roman"/>
                <w:bCs/>
                <w:sz w:val="20"/>
                <w:szCs w:val="20"/>
              </w:rPr>
            </w:pPr>
            <w:r w:rsidRPr="00F10029">
              <w:rPr>
                <w:rFonts w:cs="Times New Roman"/>
                <w:sz w:val="20"/>
                <w:szCs w:val="20"/>
              </w:rPr>
              <w:t>-9.6945</w:t>
            </w:r>
          </w:p>
        </w:tc>
        <w:tc>
          <w:tcPr>
            <w:tcW w:w="766" w:type="dxa"/>
            <w:tcBorders>
              <w:bottom w:val="single" w:sz="4" w:space="0" w:color="auto"/>
            </w:tcBorders>
            <w:vAlign w:val="center"/>
          </w:tcPr>
          <w:p w14:paraId="052F2CFD" w14:textId="709B7A70" w:rsidR="00E47FBB" w:rsidRPr="00F10029" w:rsidRDefault="00E47FBB" w:rsidP="00E47FBB">
            <w:pPr>
              <w:jc w:val="center"/>
              <w:rPr>
                <w:rFonts w:cs="Times New Roman"/>
                <w:bCs/>
                <w:sz w:val="20"/>
                <w:szCs w:val="20"/>
              </w:rPr>
            </w:pPr>
            <w:r w:rsidRPr="00F10029">
              <w:rPr>
                <w:rFonts w:cs="Times New Roman"/>
                <w:sz w:val="20"/>
                <w:szCs w:val="20"/>
              </w:rPr>
              <w:t>0.0000</w:t>
            </w:r>
          </w:p>
        </w:tc>
      </w:tr>
    </w:tbl>
    <w:p w14:paraId="01024674" w14:textId="77777777" w:rsidR="00E93FB4" w:rsidRPr="00F10029" w:rsidRDefault="00E93FB4" w:rsidP="00E47FBB">
      <w:pPr>
        <w:spacing w:after="0" w:line="240" w:lineRule="auto"/>
        <w:jc w:val="both"/>
        <w:rPr>
          <w:rFonts w:ascii="Times New Roman" w:hAnsi="Times New Roman" w:cs="Times New Roman"/>
        </w:rPr>
      </w:pPr>
      <w:r w:rsidRPr="00F10029">
        <w:rPr>
          <w:rFonts w:ascii="Times New Roman" w:hAnsi="Times New Roman" w:cs="Times New Roman"/>
          <w:color w:val="000000" w:themeColor="text1"/>
        </w:rPr>
        <w:t>Source: Statistical Results (processed)</w:t>
      </w:r>
    </w:p>
    <w:p w14:paraId="4F558C62" w14:textId="77777777" w:rsidR="00E93FB4" w:rsidRPr="00F10029" w:rsidRDefault="00E93FB4" w:rsidP="00E93FB4">
      <w:pPr>
        <w:spacing w:after="0" w:line="240" w:lineRule="auto"/>
        <w:ind w:left="720" w:firstLine="720"/>
        <w:jc w:val="both"/>
        <w:rPr>
          <w:rFonts w:ascii="Times New Roman" w:hAnsi="Times New Roman" w:cs="Times New Roman"/>
          <w:sz w:val="24"/>
          <w:szCs w:val="24"/>
        </w:rPr>
      </w:pPr>
    </w:p>
    <w:p w14:paraId="4E548AFB" w14:textId="77777777" w:rsidR="00053F1F" w:rsidRPr="00F10029" w:rsidRDefault="00E93FB4" w:rsidP="00053F1F">
      <w:pPr>
        <w:spacing w:after="0" w:line="240" w:lineRule="auto"/>
        <w:ind w:firstLine="567"/>
        <w:jc w:val="both"/>
        <w:rPr>
          <w:rFonts w:ascii="Times New Roman" w:hAnsi="Times New Roman" w:cs="Times New Roman"/>
          <w:sz w:val="24"/>
          <w:szCs w:val="24"/>
        </w:rPr>
      </w:pPr>
      <w:r w:rsidRPr="00F10029">
        <w:rPr>
          <w:rFonts w:ascii="Times New Roman" w:hAnsi="Times New Roman" w:cs="Times New Roman"/>
          <w:sz w:val="24"/>
          <w:szCs w:val="24"/>
        </w:rPr>
        <w:t xml:space="preserve">In the </w:t>
      </w:r>
      <w:r w:rsidRPr="00F10029">
        <w:rPr>
          <w:rFonts w:ascii="Times New Roman" w:hAnsi="Times New Roman" w:cs="Times New Roman"/>
          <w:color w:val="000000" w:themeColor="text1"/>
          <w:sz w:val="24"/>
          <w:szCs w:val="24"/>
        </w:rPr>
        <w:t>food and beverages</w:t>
      </w:r>
      <w:r w:rsidRPr="00F10029">
        <w:rPr>
          <w:rFonts w:ascii="Times New Roman" w:hAnsi="Times New Roman" w:cs="Times New Roman"/>
          <w:sz w:val="24"/>
          <w:szCs w:val="24"/>
        </w:rPr>
        <w:t xml:space="preserve"> sub-sector, there was a negative abnormal return at t-6, t-3, t-2, and t-1 with t-values ​​of -2,99, -4,11, -3,99 and -1,99 with probability t of 0.0067, 0.001, 0.0013 and 0.0372. These results </w:t>
      </w:r>
      <w:r w:rsidRPr="00F10029">
        <w:rPr>
          <w:rFonts w:ascii="Times New Roman" w:hAnsi="Times New Roman" w:cs="Times New Roman"/>
          <w:sz w:val="24"/>
          <w:szCs w:val="24"/>
          <w:lang w:val="id-ID"/>
        </w:rPr>
        <w:t>explained</w:t>
      </w:r>
      <w:r w:rsidRPr="00F10029">
        <w:rPr>
          <w:rFonts w:ascii="Times New Roman" w:hAnsi="Times New Roman" w:cs="Times New Roman"/>
          <w:sz w:val="24"/>
          <w:szCs w:val="24"/>
        </w:rPr>
        <w:t xml:space="preserve"> that investors have first responded to concerns about the spread of the COVID-19 virus in Indonesia, impacting increasing volatility in the </w:t>
      </w:r>
      <w:r w:rsidRPr="00F10029">
        <w:rPr>
          <w:rFonts w:ascii="Times New Roman" w:hAnsi="Times New Roman" w:cs="Times New Roman"/>
          <w:sz w:val="24"/>
          <w:szCs w:val="24"/>
          <w:lang w:val="id-ID"/>
        </w:rPr>
        <w:t>stock</w:t>
      </w:r>
      <w:r w:rsidRPr="00F10029">
        <w:rPr>
          <w:rFonts w:ascii="Times New Roman" w:hAnsi="Times New Roman" w:cs="Times New Roman"/>
          <w:sz w:val="24"/>
          <w:szCs w:val="24"/>
        </w:rPr>
        <w:t xml:space="preserve"> market. Regional quarantine policies in several countries have also worsened </w:t>
      </w:r>
      <w:r w:rsidRPr="00F10029">
        <w:rPr>
          <w:rFonts w:ascii="Times New Roman" w:hAnsi="Times New Roman" w:cs="Times New Roman"/>
          <w:sz w:val="24"/>
          <w:szCs w:val="24"/>
          <w:lang w:val="id-ID"/>
        </w:rPr>
        <w:t xml:space="preserve">the </w:t>
      </w:r>
      <w:r w:rsidRPr="00F10029">
        <w:rPr>
          <w:rFonts w:ascii="Times New Roman" w:hAnsi="Times New Roman" w:cs="Times New Roman"/>
          <w:sz w:val="24"/>
          <w:szCs w:val="24"/>
        </w:rPr>
        <w:t xml:space="preserve">stock prices in various sectors, including the </w:t>
      </w:r>
      <w:r w:rsidRPr="00F10029">
        <w:rPr>
          <w:rFonts w:ascii="Times New Roman" w:hAnsi="Times New Roman" w:cs="Times New Roman"/>
          <w:color w:val="000000" w:themeColor="text1"/>
          <w:sz w:val="24"/>
          <w:szCs w:val="24"/>
        </w:rPr>
        <w:t>food and beverages</w:t>
      </w:r>
      <w:r w:rsidRPr="00F10029">
        <w:rPr>
          <w:rFonts w:ascii="Times New Roman" w:hAnsi="Times New Roman" w:cs="Times New Roman"/>
          <w:sz w:val="24"/>
          <w:szCs w:val="24"/>
        </w:rPr>
        <w:t xml:space="preserve"> sector, resulting in negative abnormal returns before the announcement. After the first COVID-19 case announcement, investors responded with a positive abnormal return in periods t + 1 and t + 6 with t values ​​of 2.34, 2.11, and probability t of 0.0208 and 0.0306, respectively. This abnormal positive return was due to investors reconsidering the prospects for companies in the </w:t>
      </w:r>
      <w:r w:rsidRPr="00F10029">
        <w:rPr>
          <w:rFonts w:ascii="Times New Roman" w:hAnsi="Times New Roman" w:cs="Times New Roman"/>
          <w:color w:val="000000" w:themeColor="text1"/>
          <w:sz w:val="24"/>
          <w:szCs w:val="24"/>
        </w:rPr>
        <w:t>food and beverages</w:t>
      </w:r>
      <w:r w:rsidRPr="00F10029">
        <w:rPr>
          <w:rFonts w:ascii="Times New Roman" w:hAnsi="Times New Roman" w:cs="Times New Roman"/>
          <w:sz w:val="24"/>
          <w:szCs w:val="24"/>
        </w:rPr>
        <w:t xml:space="preserve"> sector, which tend to be more resilient to crisis conditions. The reason is that consumer products are basic needs in any situation. However, in the t + 4, t + 5, t + 8, and t + 10 periods, </w:t>
      </w:r>
      <w:r w:rsidRPr="00F10029">
        <w:rPr>
          <w:rFonts w:ascii="Times New Roman" w:hAnsi="Times New Roman" w:cs="Times New Roman"/>
          <w:color w:val="000000" w:themeColor="text1"/>
          <w:sz w:val="24"/>
          <w:szCs w:val="24"/>
        </w:rPr>
        <w:t>food and beverages</w:t>
      </w:r>
      <w:r w:rsidRPr="00F10029">
        <w:rPr>
          <w:rFonts w:ascii="Times New Roman" w:hAnsi="Times New Roman" w:cs="Times New Roman"/>
          <w:sz w:val="24"/>
          <w:szCs w:val="24"/>
        </w:rPr>
        <w:t xml:space="preserve"> sector stocks re-recorded negative abnormal returns due to market concerns regarding deteriorating national and global economic conditions. Of the 21 observation days, there were 11 days the market reacted to this event. However, the results occur fluctuations in AR results </w:t>
      </w:r>
      <w:r w:rsidRPr="00F10029">
        <w:rPr>
          <w:rFonts w:ascii="Times New Roman" w:hAnsi="Times New Roman" w:cs="Times New Roman"/>
          <w:sz w:val="24"/>
          <w:szCs w:val="24"/>
        </w:rPr>
        <w:lastRenderedPageBreak/>
        <w:t xml:space="preserve">daily. Investors are likely confused about the impact of the content of information. The </w:t>
      </w:r>
      <w:r w:rsidRPr="00F10029">
        <w:rPr>
          <w:rFonts w:ascii="Times New Roman" w:hAnsi="Times New Roman" w:cs="Times New Roman"/>
          <w:color w:val="000000" w:themeColor="text1"/>
          <w:sz w:val="24"/>
          <w:szCs w:val="24"/>
        </w:rPr>
        <w:t>food and beverages</w:t>
      </w:r>
      <w:r w:rsidRPr="00F10029">
        <w:rPr>
          <w:rFonts w:ascii="Times New Roman" w:hAnsi="Times New Roman" w:cs="Times New Roman"/>
          <w:sz w:val="24"/>
          <w:szCs w:val="24"/>
        </w:rPr>
        <w:t xml:space="preserve"> industry is still affected both positively and negatively.</w:t>
      </w:r>
    </w:p>
    <w:p w14:paraId="681F8DEE" w14:textId="77777777" w:rsidR="00053F1F" w:rsidRPr="00F10029" w:rsidRDefault="00E93FB4" w:rsidP="00053F1F">
      <w:pPr>
        <w:spacing w:after="0" w:line="240" w:lineRule="auto"/>
        <w:ind w:firstLine="567"/>
        <w:jc w:val="both"/>
        <w:rPr>
          <w:rFonts w:ascii="Times New Roman" w:hAnsi="Times New Roman" w:cs="Times New Roman"/>
          <w:sz w:val="24"/>
          <w:szCs w:val="24"/>
        </w:rPr>
      </w:pPr>
      <w:r w:rsidRPr="00F10029">
        <w:rPr>
          <w:rFonts w:ascii="Times New Roman" w:hAnsi="Times New Roman" w:cs="Times New Roman"/>
          <w:sz w:val="24"/>
          <w:szCs w:val="24"/>
        </w:rPr>
        <w:t xml:space="preserve">The results of the one-sample t-test in the telecommunication sub-sector show that there </w:t>
      </w:r>
      <w:r w:rsidRPr="00F10029">
        <w:rPr>
          <w:rFonts w:ascii="Times New Roman" w:hAnsi="Times New Roman" w:cs="Times New Roman"/>
          <w:sz w:val="24"/>
          <w:szCs w:val="24"/>
          <w:lang w:val="id-ID"/>
        </w:rPr>
        <w:t>was</w:t>
      </w:r>
      <w:r w:rsidRPr="00F10029">
        <w:rPr>
          <w:rFonts w:ascii="Times New Roman" w:hAnsi="Times New Roman" w:cs="Times New Roman"/>
          <w:sz w:val="24"/>
          <w:szCs w:val="24"/>
        </w:rPr>
        <w:t xml:space="preserve"> a negative abnormal return in the period t + 4, t + 5, t + 7, t + 8, and t + 10 with t values ​​of -4,89,  -4,95, -5,46, -5,02 </w:t>
      </w:r>
      <w:r w:rsidRPr="00F10029">
        <w:rPr>
          <w:rFonts w:ascii="Times New Roman" w:hAnsi="Times New Roman" w:cs="Times New Roman"/>
          <w:sz w:val="24"/>
          <w:szCs w:val="24"/>
          <w:lang w:val="id-ID"/>
        </w:rPr>
        <w:t>and</w:t>
      </w:r>
      <w:r w:rsidRPr="00F10029">
        <w:rPr>
          <w:rFonts w:ascii="Times New Roman" w:hAnsi="Times New Roman" w:cs="Times New Roman"/>
          <w:sz w:val="24"/>
          <w:szCs w:val="24"/>
        </w:rPr>
        <w:t xml:space="preserve"> -6,04 </w:t>
      </w:r>
      <w:r w:rsidRPr="00F10029">
        <w:rPr>
          <w:rFonts w:ascii="Times New Roman" w:hAnsi="Times New Roman" w:cs="Times New Roman"/>
          <w:sz w:val="24"/>
          <w:szCs w:val="24"/>
          <w:lang w:val="id-ID"/>
        </w:rPr>
        <w:t xml:space="preserve">respectively </w:t>
      </w:r>
      <w:r w:rsidRPr="00F10029">
        <w:rPr>
          <w:rFonts w:ascii="Times New Roman" w:hAnsi="Times New Roman" w:cs="Times New Roman"/>
          <w:sz w:val="24"/>
          <w:szCs w:val="24"/>
        </w:rPr>
        <w:t xml:space="preserve">with probability t of 0.004, 0.0039, 0.0027, 0.0037 and 0.0019. These results </w:t>
      </w:r>
      <w:r w:rsidRPr="00F10029">
        <w:rPr>
          <w:rFonts w:ascii="Times New Roman" w:hAnsi="Times New Roman" w:cs="Times New Roman"/>
          <w:sz w:val="24"/>
          <w:szCs w:val="24"/>
          <w:lang w:val="id-ID"/>
        </w:rPr>
        <w:t>define</w:t>
      </w:r>
      <w:r w:rsidRPr="00F10029">
        <w:rPr>
          <w:rFonts w:ascii="Times New Roman" w:hAnsi="Times New Roman" w:cs="Times New Roman"/>
          <w:sz w:val="24"/>
          <w:szCs w:val="24"/>
        </w:rPr>
        <w:t xml:space="preserve"> that investors responded to the announcement of the first COVID-19 case in Indonesia as bad news. Concern about the increasingly high and rapid spread of the COVID-19 virus </w:t>
      </w:r>
      <w:r w:rsidRPr="00F10029">
        <w:rPr>
          <w:rFonts w:ascii="Times New Roman" w:hAnsi="Times New Roman" w:cs="Times New Roman"/>
          <w:sz w:val="24"/>
          <w:szCs w:val="24"/>
          <w:lang w:val="id-ID"/>
        </w:rPr>
        <w:t>could</w:t>
      </w:r>
      <w:r w:rsidRPr="00F10029">
        <w:rPr>
          <w:rFonts w:ascii="Times New Roman" w:hAnsi="Times New Roman" w:cs="Times New Roman"/>
          <w:sz w:val="24"/>
          <w:szCs w:val="24"/>
        </w:rPr>
        <w:t xml:space="preserve"> worsen the economic situation. </w:t>
      </w:r>
      <w:r w:rsidRPr="00F10029">
        <w:rPr>
          <w:rFonts w:ascii="Times New Roman" w:hAnsi="Times New Roman" w:cs="Times New Roman"/>
          <w:sz w:val="24"/>
          <w:szCs w:val="24"/>
          <w:lang w:val="id-ID"/>
        </w:rPr>
        <w:t>Furthermore, implementing</w:t>
      </w:r>
      <w:r w:rsidRPr="00F10029">
        <w:rPr>
          <w:rFonts w:ascii="Times New Roman" w:hAnsi="Times New Roman" w:cs="Times New Roman"/>
          <w:sz w:val="24"/>
          <w:szCs w:val="24"/>
        </w:rPr>
        <w:t xml:space="preserve"> regional quarantine has resulted in many employees being laid off</w:t>
      </w:r>
      <w:r w:rsidRPr="00F10029">
        <w:rPr>
          <w:rFonts w:ascii="Times New Roman" w:hAnsi="Times New Roman" w:cs="Times New Roman"/>
          <w:sz w:val="24"/>
          <w:szCs w:val="24"/>
          <w:lang w:val="id-ID"/>
        </w:rPr>
        <w:t xml:space="preserve"> and </w:t>
      </w:r>
      <w:r w:rsidRPr="00F10029">
        <w:rPr>
          <w:rFonts w:ascii="Times New Roman" w:hAnsi="Times New Roman" w:cs="Times New Roman"/>
          <w:sz w:val="24"/>
          <w:szCs w:val="24"/>
        </w:rPr>
        <w:t xml:space="preserve">decreased purchasing power. </w:t>
      </w:r>
      <w:r w:rsidRPr="00F10029">
        <w:rPr>
          <w:rFonts w:ascii="Times New Roman" w:hAnsi="Times New Roman" w:cs="Times New Roman"/>
          <w:sz w:val="24"/>
          <w:szCs w:val="24"/>
          <w:lang w:val="id-ID"/>
        </w:rPr>
        <w:t>Above all, t</w:t>
      </w:r>
      <w:r w:rsidRPr="00F10029">
        <w:rPr>
          <w:rFonts w:ascii="Times New Roman" w:hAnsi="Times New Roman" w:cs="Times New Roman"/>
          <w:sz w:val="24"/>
          <w:szCs w:val="24"/>
        </w:rPr>
        <w:t>he domino effect of the decline in people's purchasing power.</w:t>
      </w:r>
    </w:p>
    <w:p w14:paraId="4F710C48" w14:textId="5BD07B85" w:rsidR="00E93FB4" w:rsidRPr="00F10029" w:rsidRDefault="00E93FB4" w:rsidP="00053F1F">
      <w:pPr>
        <w:spacing w:after="0" w:line="240" w:lineRule="auto"/>
        <w:ind w:firstLine="567"/>
        <w:jc w:val="both"/>
        <w:rPr>
          <w:rFonts w:ascii="Times New Roman" w:hAnsi="Times New Roman" w:cs="Times New Roman"/>
          <w:sz w:val="24"/>
          <w:szCs w:val="24"/>
        </w:rPr>
      </w:pPr>
      <w:r w:rsidRPr="00F10029">
        <w:rPr>
          <w:rFonts w:ascii="Times New Roman" w:hAnsi="Times New Roman" w:cs="Times New Roman"/>
          <w:sz w:val="24"/>
          <w:szCs w:val="24"/>
        </w:rPr>
        <w:t xml:space="preserve">In the one-sample t-test with a daily transportation sub-sector, there was a negative abnormal return in the midst of the before and after the announcement. The average abnormal return before the announcement was -0.009, and the average abnormal return after the announcement was -0.012. There was an abnormal average of negative return on daily observations before the announcement, namely in the t-6, t-5, and t-3 periods. The respective t values are -1.97, -2.45 and -3.19 with a probability t of 0.0346, 0.0141 and 0.0033. In addition, negative average abnormal returns were found after the announcement, namely in the t + 4, t + 5, t + 8, and t + 10 periods. The respective t-values are -3.14, -4.13, -7.46 and -9.69. The result shows that investors responded to concern over the spread of the Covid-19 virus in Indonesia.  The virus, </w:t>
      </w:r>
      <w:r w:rsidRPr="00F10029">
        <w:rPr>
          <w:rFonts w:ascii="Times New Roman" w:hAnsi="Times New Roman" w:cs="Times New Roman"/>
          <w:sz w:val="24"/>
          <w:szCs w:val="24"/>
          <w:lang w:val="id-ID"/>
        </w:rPr>
        <w:t>which</w:t>
      </w:r>
      <w:r w:rsidRPr="00F10029">
        <w:rPr>
          <w:rFonts w:ascii="Times New Roman" w:hAnsi="Times New Roman" w:cs="Times New Roman"/>
          <w:sz w:val="24"/>
          <w:szCs w:val="24"/>
        </w:rPr>
        <w:t xml:space="preserve"> spreads and has exponential growth, has made several countries take serious action by implementing lockdowns. The Lockdown includes restrictions on social mobility through land, water, and air transportation. Research </w:t>
      </w:r>
      <w:r w:rsidRPr="00F10029">
        <w:rPr>
          <w:rFonts w:ascii="Times New Roman" w:hAnsi="Times New Roman" w:cs="Times New Roman"/>
          <w:sz w:val="24"/>
          <w:szCs w:val="24"/>
        </w:rPr>
        <w:fldChar w:fldCharType="begin" w:fldLock="1"/>
      </w:r>
      <w:r w:rsidRPr="00F10029">
        <w:rPr>
          <w:rFonts w:ascii="Times New Roman" w:hAnsi="Times New Roman" w:cs="Times New Roman"/>
          <w:sz w:val="24"/>
          <w:szCs w:val="24"/>
        </w:rPr>
        <w:instrText>ADDIN CSL_CITATION {"citationItems":[{"id":"ITEM-1","itemData":{"DOI":"10.1080/1540496X.2020.1785865","ISSN":"15580938","abstract":"In this article, we use an event study approach to empirically study the market performance and response trends of Chinese industries to the COVID-19 pandemic. The study found that transportation, mining, electricity &amp; heating, and environment industries have been adversely impacted by the pandemic. However, manufacturing, information technology, education and health-care industries have been resilient to the pandemic.","author":[{"dropping-particle":"","family":"He","given":"Pinglin","non-dropping-particle":"","parse-names":false,"suffix":""},{"dropping-particle":"","family":"Sun","given":"Yulong","non-dropping-particle":"","parse-names":false,"suffix":""},{"dropping-particle":"","family":"Zhang","given":"Ying","non-dropping-particle":"","parse-names":false,"suffix":""},{"dropping-particle":"","family":"Li","given":"Tao","non-dropping-particle":"","parse-names":false,"suffix":""}],"container-title":"Emerging Markets Finance and Trade","id":"ITEM-1","issue":"10","issued":{"date-parts":[["2020"]]},"page":"2198-2212","publisher":"Routledge","title":"COVID–19’s Impact on Stock Prices Across Different Sectors—An Event Study Based on the Chinese Stock Market","type":"article-journal","volume":"56"},"uris":["http://www.mendeley.com/documents/?uuid=eb90c179-3745-4b5c-b2fb-3c949dae8e02","http://www.mendeley.com/documents/?uuid=b9d22093-b603-4bdc-a644-fd933d8ef934"]}],"mendeley":{"formattedCitation":"(He et al., 2020)","plainTextFormattedCitation":"(He et al., 2020)","previouslyFormattedCitation":"(He et al., 2020)"},"properties":{"noteIndex":0},"schema":"https://github.com/citation-style-language/schema/raw/master/csl-citation.json"}</w:instrText>
      </w:r>
      <w:r w:rsidRPr="00F10029">
        <w:rPr>
          <w:rFonts w:ascii="Times New Roman" w:hAnsi="Times New Roman" w:cs="Times New Roman"/>
          <w:sz w:val="24"/>
          <w:szCs w:val="24"/>
        </w:rPr>
        <w:fldChar w:fldCharType="separate"/>
      </w:r>
      <w:r w:rsidRPr="00F10029">
        <w:rPr>
          <w:rFonts w:ascii="Times New Roman" w:hAnsi="Times New Roman" w:cs="Times New Roman"/>
          <w:noProof/>
          <w:sz w:val="24"/>
          <w:szCs w:val="24"/>
        </w:rPr>
        <w:t>(</w:t>
      </w:r>
      <w:hyperlink w:anchor="He2020" w:history="1">
        <w:r w:rsidRPr="00F10029">
          <w:rPr>
            <w:rStyle w:val="Hyperlink"/>
            <w:rFonts w:ascii="Times New Roman" w:hAnsi="Times New Roman" w:cs="Times New Roman"/>
            <w:noProof/>
            <w:sz w:val="24"/>
            <w:szCs w:val="24"/>
            <w:u w:val="none"/>
          </w:rPr>
          <w:t>He et al., 2020</w:t>
        </w:r>
      </w:hyperlink>
      <w:r w:rsidRPr="00F10029">
        <w:rPr>
          <w:rFonts w:ascii="Times New Roman" w:hAnsi="Times New Roman" w:cs="Times New Roman"/>
          <w:noProof/>
          <w:sz w:val="24"/>
          <w:szCs w:val="24"/>
        </w:rPr>
        <w:t>)</w:t>
      </w:r>
      <w:r w:rsidRPr="00F10029">
        <w:rPr>
          <w:rFonts w:ascii="Times New Roman" w:hAnsi="Times New Roman" w:cs="Times New Roman"/>
          <w:sz w:val="24"/>
          <w:szCs w:val="24"/>
        </w:rPr>
        <w:fldChar w:fldCharType="end"/>
      </w:r>
      <w:r w:rsidRPr="00F10029">
        <w:rPr>
          <w:rFonts w:ascii="Times New Roman" w:hAnsi="Times New Roman" w:cs="Times New Roman"/>
          <w:sz w:val="24"/>
          <w:szCs w:val="24"/>
        </w:rPr>
        <w:t xml:space="preserve"> also stated that the COVID-19 pandemic adversely impacts the transportation industry. It has had a devastating impact on the transportation sector, so investors have responded before announcing the first COVID-19 case in Indonesia. The negative response continued for ten days after the announcement. It had a devastating impact on the transportation sector, as the investors responded before announcing the first Covid-19 case in Indonesia. The negative response continued for ten days after the announcement.</w:t>
      </w:r>
    </w:p>
    <w:p w14:paraId="3EF11919" w14:textId="77777777" w:rsidR="00E93FB4" w:rsidRPr="00F10029" w:rsidRDefault="00E93FB4" w:rsidP="00E93FB4">
      <w:pPr>
        <w:spacing w:after="0" w:line="240" w:lineRule="auto"/>
        <w:ind w:left="720" w:firstLine="720"/>
        <w:jc w:val="both"/>
        <w:rPr>
          <w:rFonts w:ascii="Times New Roman" w:hAnsi="Times New Roman" w:cs="Times New Roman"/>
          <w:sz w:val="24"/>
          <w:szCs w:val="24"/>
        </w:rPr>
      </w:pPr>
    </w:p>
    <w:p w14:paraId="425C9FFC" w14:textId="77777777" w:rsidR="00E93FB4" w:rsidRPr="00F10029" w:rsidRDefault="00E93FB4" w:rsidP="00047282">
      <w:pPr>
        <w:spacing w:after="0" w:line="240" w:lineRule="auto"/>
        <w:ind w:firstLine="567"/>
        <w:rPr>
          <w:rFonts w:ascii="Times New Roman" w:hAnsi="Times New Roman" w:cs="Times New Roman"/>
          <w:sz w:val="24"/>
          <w:szCs w:val="24"/>
        </w:rPr>
      </w:pPr>
      <w:r w:rsidRPr="00F10029">
        <w:rPr>
          <w:rFonts w:ascii="Times New Roman" w:hAnsi="Times New Roman" w:cs="Times New Roman"/>
          <w:noProof/>
          <w:sz w:val="24"/>
          <w:szCs w:val="24"/>
        </w:rPr>
        <w:drawing>
          <wp:inline distT="0" distB="0" distL="0" distR="0" wp14:anchorId="534415C8" wp14:editId="760477C3">
            <wp:extent cx="4872024" cy="2818132"/>
            <wp:effectExtent l="0" t="0" r="508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79990" cy="2822740"/>
                    </a:xfrm>
                    <a:prstGeom prst="rect">
                      <a:avLst/>
                    </a:prstGeom>
                    <a:noFill/>
                  </pic:spPr>
                </pic:pic>
              </a:graphicData>
            </a:graphic>
          </wp:inline>
        </w:drawing>
      </w:r>
    </w:p>
    <w:p w14:paraId="76726075" w14:textId="77777777" w:rsidR="00E93FB4" w:rsidRPr="00F10029" w:rsidRDefault="00E93FB4" w:rsidP="00E93FB4">
      <w:pPr>
        <w:spacing w:after="0" w:line="240" w:lineRule="auto"/>
        <w:ind w:left="720" w:firstLine="720"/>
        <w:jc w:val="both"/>
        <w:rPr>
          <w:rFonts w:ascii="Times New Roman" w:hAnsi="Times New Roman" w:cs="Times New Roman"/>
          <w:sz w:val="24"/>
          <w:szCs w:val="24"/>
          <w:lang w:val="id-ID"/>
        </w:rPr>
      </w:pPr>
      <w:r w:rsidRPr="00F10029">
        <w:rPr>
          <w:rFonts w:ascii="Times New Roman" w:hAnsi="Times New Roman" w:cs="Times New Roman"/>
          <w:sz w:val="24"/>
          <w:szCs w:val="24"/>
          <w:lang w:val="id-ID"/>
        </w:rPr>
        <w:t>Source’s: Worldbank (2022)</w:t>
      </w:r>
    </w:p>
    <w:p w14:paraId="73F7620A" w14:textId="77777777" w:rsidR="00053F1F" w:rsidRPr="00F10029" w:rsidRDefault="00053F1F" w:rsidP="00053F1F">
      <w:pPr>
        <w:spacing w:after="0" w:line="240" w:lineRule="auto"/>
        <w:jc w:val="both"/>
        <w:rPr>
          <w:rFonts w:ascii="Times New Roman" w:hAnsi="Times New Roman" w:cs="Times New Roman"/>
          <w:sz w:val="24"/>
          <w:szCs w:val="24"/>
          <w:lang w:val="id-ID"/>
        </w:rPr>
      </w:pPr>
    </w:p>
    <w:p w14:paraId="2CCB3E12" w14:textId="0BEC6F10" w:rsidR="00837310" w:rsidRPr="00F10029" w:rsidRDefault="00837310" w:rsidP="00837310">
      <w:pPr>
        <w:spacing w:after="0" w:line="240" w:lineRule="auto"/>
        <w:ind w:firstLine="567"/>
        <w:jc w:val="center"/>
        <w:rPr>
          <w:rFonts w:ascii="Times New Roman" w:hAnsi="Times New Roman" w:cs="Times New Roman"/>
          <w:color w:val="000000" w:themeColor="text1"/>
        </w:rPr>
      </w:pPr>
      <w:r w:rsidRPr="00F10029">
        <w:rPr>
          <w:rFonts w:ascii="Times New Roman" w:hAnsi="Times New Roman" w:cs="Times New Roman"/>
          <w:color w:val="000000" w:themeColor="text1"/>
        </w:rPr>
        <w:t xml:space="preserve">Figure </w:t>
      </w:r>
      <w:r>
        <w:rPr>
          <w:rFonts w:ascii="Times New Roman" w:hAnsi="Times New Roman" w:cs="Times New Roman"/>
          <w:color w:val="000000" w:themeColor="text1"/>
        </w:rPr>
        <w:t>2</w:t>
      </w:r>
      <w:r w:rsidRPr="00F10029">
        <w:rPr>
          <w:rFonts w:ascii="Times New Roman" w:hAnsi="Times New Roman" w:cs="Times New Roman"/>
          <w:color w:val="000000" w:themeColor="text1"/>
        </w:rPr>
        <w:t xml:space="preserve">. </w:t>
      </w:r>
      <w:r>
        <w:rPr>
          <w:rFonts w:ascii="Times New Roman" w:hAnsi="Times New Roman" w:cs="Times New Roman"/>
          <w:color w:val="000000" w:themeColor="text1"/>
        </w:rPr>
        <w:t>Abnormal Returns (AR) for Various Sector</w:t>
      </w:r>
    </w:p>
    <w:p w14:paraId="734EB038" w14:textId="77777777" w:rsidR="00837310" w:rsidRDefault="00837310" w:rsidP="00053F1F">
      <w:pPr>
        <w:spacing w:after="0" w:line="240" w:lineRule="auto"/>
        <w:ind w:firstLine="567"/>
        <w:jc w:val="both"/>
        <w:rPr>
          <w:rFonts w:ascii="Times New Roman" w:hAnsi="Times New Roman" w:cs="Times New Roman"/>
          <w:sz w:val="24"/>
          <w:szCs w:val="24"/>
          <w:lang w:val="id-ID"/>
        </w:rPr>
      </w:pPr>
    </w:p>
    <w:p w14:paraId="125404EA" w14:textId="7C98219E" w:rsidR="00053F1F" w:rsidRPr="00F10029" w:rsidRDefault="00E93FB4" w:rsidP="00053F1F">
      <w:pPr>
        <w:spacing w:after="0" w:line="240" w:lineRule="auto"/>
        <w:ind w:firstLine="567"/>
        <w:jc w:val="both"/>
        <w:rPr>
          <w:rFonts w:ascii="Times New Roman" w:hAnsi="Times New Roman" w:cs="Times New Roman"/>
          <w:sz w:val="24"/>
          <w:szCs w:val="24"/>
        </w:rPr>
      </w:pPr>
      <w:r w:rsidRPr="00F10029">
        <w:rPr>
          <w:rFonts w:ascii="Times New Roman" w:hAnsi="Times New Roman" w:cs="Times New Roman"/>
          <w:sz w:val="24"/>
          <w:szCs w:val="24"/>
          <w:lang w:val="id-ID"/>
        </w:rPr>
        <w:lastRenderedPageBreak/>
        <w:t>T</w:t>
      </w:r>
      <w:r w:rsidRPr="00F10029">
        <w:rPr>
          <w:rFonts w:ascii="Times New Roman" w:hAnsi="Times New Roman" w:cs="Times New Roman"/>
          <w:sz w:val="24"/>
          <w:szCs w:val="24"/>
        </w:rPr>
        <w:t>he chart above illustrates the abnormal returns (AR) across various sectors, highlighting how they responded before and after the announcement of the first COVID-19 case in Indonesia. The pharmaceutical sector initially showed negative AR, reflecting early market concerns, but quickly rebounded as investors anticipated increased demand for healthcare products. The food and beverages sector also experienced an initial negative response due to pandemic fears and regional quarantines but later saw a positive shift as the market recognized the sector's resilience. However, this positive momentum was short-lived, with negative AR returning as broader economic uncertainty persisted. In contrast, telecommunications and transportation sectors faced sustained negative AR, as concerns about the economic impact of the pandemic and lockdowns outweighed potential growth in these industries.</w:t>
      </w:r>
    </w:p>
    <w:p w14:paraId="0DEEBB93" w14:textId="60114A16" w:rsidR="00E93FB4" w:rsidRPr="00F10029" w:rsidRDefault="00E93FB4" w:rsidP="00053F1F">
      <w:pPr>
        <w:spacing w:after="0" w:line="240" w:lineRule="auto"/>
        <w:ind w:firstLine="567"/>
        <w:jc w:val="both"/>
        <w:rPr>
          <w:rFonts w:ascii="Times New Roman" w:hAnsi="Times New Roman" w:cs="Times New Roman"/>
          <w:sz w:val="24"/>
          <w:szCs w:val="24"/>
        </w:rPr>
      </w:pPr>
      <w:r w:rsidRPr="00F10029">
        <w:rPr>
          <w:rFonts w:ascii="Times New Roman" w:hAnsi="Times New Roman" w:cs="Times New Roman"/>
          <w:sz w:val="24"/>
          <w:szCs w:val="24"/>
        </w:rPr>
        <w:t>These market reactions suggest several key strategies for investors and policymakers. For investors, sectors like pharmaceuticals and food and beverages present opportunities due to their essential nature, but careful attention is needed to manage the volatility seen in the short term. In telecommunications, the focus should be on long-term growth driven by digital services, while transportation might require patience as it recovers from the immediate effects of mobility restrictions. Financial authorities should act swiftly to provide sector-specific support, especially for those most impacted by the pandemic, and maintain clear communication to reduce uncertainty. Additionally, companies should prioritize resilience and flexibility in their operations, particularly through innovation, digital transformation, and diversification, to minimize risks during future disruptions. Long-term strategic planning and sustainability will be key for industries like transportation, where recovery could be gradual, but the long-term potential remains strong.</w:t>
      </w:r>
    </w:p>
    <w:p w14:paraId="6049C188" w14:textId="77777777" w:rsidR="00CC37D4" w:rsidRPr="00F10029" w:rsidRDefault="00CC37D4" w:rsidP="00CC37D4">
      <w:pPr>
        <w:spacing w:after="0" w:line="240" w:lineRule="auto"/>
        <w:jc w:val="both"/>
        <w:rPr>
          <w:rFonts w:ascii="Times New Roman" w:hAnsi="Times New Roman" w:cs="Times New Roman"/>
          <w:sz w:val="24"/>
          <w:szCs w:val="24"/>
        </w:rPr>
      </w:pPr>
    </w:p>
    <w:p w14:paraId="6ADB2DDE" w14:textId="77777777" w:rsidR="00ED3EEA" w:rsidRPr="00F10029" w:rsidRDefault="00ED3EEA" w:rsidP="00B40673">
      <w:pPr>
        <w:spacing w:after="0" w:line="240" w:lineRule="auto"/>
        <w:jc w:val="both"/>
        <w:rPr>
          <w:rFonts w:ascii="Times New Roman" w:hAnsi="Times New Roman" w:cs="Times New Roman"/>
          <w:b/>
          <w:bCs/>
          <w:sz w:val="24"/>
          <w:szCs w:val="24"/>
        </w:rPr>
      </w:pPr>
      <w:r w:rsidRPr="00F10029">
        <w:rPr>
          <w:rFonts w:ascii="Times New Roman" w:hAnsi="Times New Roman" w:cs="Times New Roman"/>
          <w:b/>
          <w:bCs/>
          <w:sz w:val="24"/>
          <w:szCs w:val="24"/>
        </w:rPr>
        <w:t>Conclusion</w:t>
      </w:r>
    </w:p>
    <w:p w14:paraId="6AE7B2A9" w14:textId="77777777" w:rsidR="00B40673" w:rsidRPr="00F10029" w:rsidRDefault="00B40673" w:rsidP="00B40673">
      <w:pPr>
        <w:tabs>
          <w:tab w:val="left" w:pos="567"/>
        </w:tabs>
        <w:spacing w:after="0" w:line="240" w:lineRule="auto"/>
        <w:jc w:val="both"/>
        <w:rPr>
          <w:rFonts w:ascii="Times New Roman" w:hAnsi="Times New Roman" w:cs="Times New Roman"/>
          <w:sz w:val="24"/>
          <w:szCs w:val="24"/>
        </w:rPr>
      </w:pPr>
      <w:r w:rsidRPr="00F10029">
        <w:rPr>
          <w:rFonts w:ascii="Times New Roman" w:hAnsi="Times New Roman" w:cs="Times New Roman"/>
          <w:sz w:val="24"/>
          <w:szCs w:val="24"/>
        </w:rPr>
        <w:t xml:space="preserve">This study investigates investor behavior and market reaction during the COVID-19 pandemic event in Indonesia. Trading volume activity (TVA) as a proxy of investor behavior and market reaction using Average Abnormal Return (AAR). This study analyzes the Indonesian stock market in response to the COVID-19 outbreak in several subsectors: pharmaceutical, telecommunications, </w:t>
      </w:r>
      <w:r w:rsidRPr="00F10029">
        <w:rPr>
          <w:rFonts w:ascii="Times New Roman" w:hAnsi="Times New Roman" w:cs="Times New Roman"/>
          <w:color w:val="000000" w:themeColor="text1"/>
          <w:sz w:val="24"/>
          <w:szCs w:val="24"/>
        </w:rPr>
        <w:t>food and beverages</w:t>
      </w:r>
      <w:r w:rsidRPr="00F10029">
        <w:rPr>
          <w:rFonts w:ascii="Times New Roman" w:hAnsi="Times New Roman" w:cs="Times New Roman"/>
          <w:sz w:val="24"/>
          <w:szCs w:val="24"/>
        </w:rPr>
        <w:t>, and transportation.</w:t>
      </w:r>
      <w:r w:rsidRPr="00F10029">
        <w:rPr>
          <w:rFonts w:ascii="Times New Roman" w:hAnsi="Times New Roman" w:cs="Times New Roman"/>
          <w:sz w:val="24"/>
          <w:szCs w:val="24"/>
        </w:rPr>
        <w:t xml:space="preserve"> </w:t>
      </w:r>
      <w:r w:rsidRPr="00F10029">
        <w:rPr>
          <w:rFonts w:ascii="Times New Roman" w:hAnsi="Times New Roman" w:cs="Times New Roman"/>
          <w:sz w:val="24"/>
          <w:szCs w:val="24"/>
        </w:rPr>
        <w:t xml:space="preserve">The results presented different reactions in each subsector in response to the Covid-19 outbreak. There was no difference in abnormal returns in the pharmaceutical sector before and after the announcement of the first COVID-19 case. At the same time, there was a difference before and after the report for Trading Volume Activity. It indicates that investors consider the possible positive impact on the pharmaceutical sector due to the increasing demand for health products amidst the health crisis. There was no significant difference in abnormal returns and trading volume activity in the </w:t>
      </w:r>
      <w:r w:rsidRPr="00F10029">
        <w:rPr>
          <w:rFonts w:ascii="Times New Roman" w:hAnsi="Times New Roman" w:cs="Times New Roman"/>
          <w:color w:val="000000" w:themeColor="text1"/>
          <w:sz w:val="24"/>
          <w:szCs w:val="24"/>
        </w:rPr>
        <w:t>food and beverages</w:t>
      </w:r>
      <w:r w:rsidRPr="00F10029">
        <w:rPr>
          <w:rFonts w:ascii="Times New Roman" w:hAnsi="Times New Roman" w:cs="Times New Roman"/>
          <w:sz w:val="24"/>
          <w:szCs w:val="24"/>
        </w:rPr>
        <w:t xml:space="preserve"> sector before and after the announcement of the first COVID-19 case. Investors have first responded to concerns over the spread of the Covid-19 virus in Indonesia. After announcing the first COVID-19 case, investors responded with a positive abnormal return because investors were reconsidering the prospects for companies in the </w:t>
      </w:r>
      <w:r w:rsidRPr="00F10029">
        <w:rPr>
          <w:rFonts w:ascii="Times New Roman" w:hAnsi="Times New Roman" w:cs="Times New Roman"/>
          <w:color w:val="000000" w:themeColor="text1"/>
          <w:sz w:val="24"/>
          <w:szCs w:val="24"/>
        </w:rPr>
        <w:t>food and beverages</w:t>
      </w:r>
      <w:r w:rsidRPr="00F10029">
        <w:rPr>
          <w:rFonts w:ascii="Times New Roman" w:hAnsi="Times New Roman" w:cs="Times New Roman"/>
          <w:sz w:val="24"/>
          <w:szCs w:val="24"/>
        </w:rPr>
        <w:t xml:space="preserve"> sector that tended to be more resilient to crisis conditions.</w:t>
      </w:r>
    </w:p>
    <w:p w14:paraId="52898D1F" w14:textId="3DCF40AC" w:rsidR="00B40673" w:rsidRPr="00F10029" w:rsidRDefault="00B40673" w:rsidP="00B40673">
      <w:pPr>
        <w:tabs>
          <w:tab w:val="left" w:pos="567"/>
        </w:tabs>
        <w:spacing w:after="0" w:line="240" w:lineRule="auto"/>
        <w:ind w:firstLine="567"/>
        <w:jc w:val="both"/>
        <w:rPr>
          <w:rFonts w:ascii="Times New Roman" w:hAnsi="Times New Roman" w:cs="Times New Roman"/>
          <w:sz w:val="24"/>
          <w:szCs w:val="24"/>
        </w:rPr>
      </w:pPr>
      <w:r w:rsidRPr="00F10029">
        <w:rPr>
          <w:rFonts w:ascii="Times New Roman" w:hAnsi="Times New Roman" w:cs="Times New Roman"/>
          <w:sz w:val="24"/>
          <w:szCs w:val="24"/>
        </w:rPr>
        <w:t xml:space="preserve">There was a significant difference in abnormal returns in the telecommunications sector before and after the announcement. At the same time, there was no difference before and after the report for trading volume activity. There was no difference in abnormal returns and trading volume activity in the transportation sector before and after the information of the first COVID-19 case. However, investors responded with negative abnormal returns in the period before and after the announcement. It is due to the presence of lockdowns that contributed to a </w:t>
      </w:r>
      <w:r w:rsidRPr="00F10029">
        <w:rPr>
          <w:rFonts w:ascii="Times New Roman" w:hAnsi="Times New Roman" w:cs="Times New Roman"/>
          <w:sz w:val="24"/>
          <w:szCs w:val="24"/>
          <w:lang w:val="id-ID"/>
        </w:rPr>
        <w:t>detrimental</w:t>
      </w:r>
      <w:r w:rsidRPr="00F10029">
        <w:rPr>
          <w:rFonts w:ascii="Times New Roman" w:hAnsi="Times New Roman" w:cs="Times New Roman"/>
          <w:sz w:val="24"/>
          <w:szCs w:val="24"/>
        </w:rPr>
        <w:t xml:space="preserve"> impact on the transportation sector.</w:t>
      </w:r>
      <w:r w:rsidRPr="00F10029">
        <w:rPr>
          <w:rFonts w:ascii="Times New Roman" w:hAnsi="Times New Roman" w:cs="Times New Roman"/>
          <w:sz w:val="24"/>
          <w:szCs w:val="24"/>
        </w:rPr>
        <w:t xml:space="preserve"> </w:t>
      </w:r>
      <w:r w:rsidRPr="00F10029">
        <w:rPr>
          <w:rFonts w:ascii="Times New Roman" w:hAnsi="Times New Roman" w:cs="Times New Roman"/>
          <w:sz w:val="24"/>
          <w:szCs w:val="24"/>
        </w:rPr>
        <w:t xml:space="preserve">The COVID-19 pandemic is an outbreak that is widespread globally and has a pretty severe impact on various sectors. The Covid-19 outbreak has caused economic turmoil both nationally and internationally. The uncertainty caused by the </w:t>
      </w:r>
      <w:r w:rsidRPr="00F10029">
        <w:rPr>
          <w:rFonts w:ascii="Times New Roman" w:hAnsi="Times New Roman" w:cs="Times New Roman"/>
          <w:sz w:val="24"/>
          <w:szCs w:val="24"/>
        </w:rPr>
        <w:lastRenderedPageBreak/>
        <w:t>unpredictable condition of the COVID-19 attack has made economic conditions in various countries</w:t>
      </w:r>
      <w:r w:rsidRPr="00F10029">
        <w:rPr>
          <w:rFonts w:ascii="Times New Roman" w:hAnsi="Times New Roman" w:cs="Times New Roman"/>
          <w:sz w:val="24"/>
          <w:szCs w:val="24"/>
          <w:lang w:val="id-ID"/>
        </w:rPr>
        <w:t>,</w:t>
      </w:r>
      <w:r w:rsidRPr="00F10029">
        <w:rPr>
          <w:rFonts w:ascii="Times New Roman" w:hAnsi="Times New Roman" w:cs="Times New Roman"/>
          <w:sz w:val="24"/>
          <w:szCs w:val="24"/>
        </w:rPr>
        <w:t xml:space="preserve"> including Indonesia</w:t>
      </w:r>
      <w:r w:rsidRPr="00F10029">
        <w:rPr>
          <w:rFonts w:ascii="Times New Roman" w:hAnsi="Times New Roman" w:cs="Times New Roman"/>
          <w:sz w:val="24"/>
          <w:szCs w:val="24"/>
          <w:lang w:val="id-ID"/>
        </w:rPr>
        <w:t>,</w:t>
      </w:r>
      <w:r w:rsidRPr="00F10029">
        <w:rPr>
          <w:rFonts w:ascii="Times New Roman" w:hAnsi="Times New Roman" w:cs="Times New Roman"/>
          <w:sz w:val="24"/>
          <w:szCs w:val="24"/>
        </w:rPr>
        <w:t xml:space="preserve"> worsen. The stock market is a macroeconomic barometer, so the impact of the COVID-19 pandemic is reflected in the volatility of stock prices. Therefore, investors are expected to properly consider any investment decisions made during conditions of uncertainty, one of which can assess the vulnerability of specific sectors to experiencing turmoil during a pandemic.</w:t>
      </w:r>
    </w:p>
    <w:p w14:paraId="3D37BAD2" w14:textId="77777777" w:rsidR="004262C5" w:rsidRPr="00F10029" w:rsidRDefault="004262C5" w:rsidP="00ED3EEA">
      <w:pPr>
        <w:pStyle w:val="Heading1"/>
        <w:spacing w:before="0" w:line="240" w:lineRule="auto"/>
        <w:jc w:val="both"/>
        <w:rPr>
          <w:rFonts w:ascii="Times New Roman" w:hAnsi="Times New Roman"/>
          <w:color w:val="FFFFFF" w:themeColor="background1"/>
          <w:sz w:val="24"/>
          <w:szCs w:val="24"/>
        </w:rPr>
      </w:pPr>
      <w:r w:rsidRPr="00F10029">
        <w:rPr>
          <w:rFonts w:ascii="Times New Roman" w:hAnsi="Times New Roman"/>
          <w:color w:val="FFFFFF" w:themeColor="background1"/>
          <w:sz w:val="24"/>
          <w:szCs w:val="24"/>
        </w:rPr>
        <w:t>pressure, and curb potential criminality.</w:t>
      </w:r>
    </w:p>
    <w:p w14:paraId="5E9066FB" w14:textId="6B2448C7" w:rsidR="00271F7B" w:rsidRPr="00F10029" w:rsidRDefault="008176B0" w:rsidP="00ED3EEA">
      <w:pPr>
        <w:spacing w:after="0" w:line="240" w:lineRule="auto"/>
        <w:jc w:val="both"/>
        <w:rPr>
          <w:rFonts w:ascii="Times New Roman" w:hAnsi="Times New Roman" w:cs="Times New Roman"/>
          <w:b/>
          <w:bCs/>
          <w:sz w:val="24"/>
          <w:szCs w:val="24"/>
          <w:lang w:val="en-ID"/>
        </w:rPr>
      </w:pPr>
      <w:r w:rsidRPr="00F10029">
        <w:rPr>
          <w:rFonts w:ascii="Times New Roman" w:hAnsi="Times New Roman" w:cs="Times New Roman"/>
          <w:b/>
          <w:bCs/>
          <w:sz w:val="24"/>
          <w:szCs w:val="24"/>
          <w:lang w:val="en-ID"/>
        </w:rPr>
        <w:t>Author Contribution</w:t>
      </w:r>
    </w:p>
    <w:p w14:paraId="46606372" w14:textId="77777777" w:rsidR="00B40673" w:rsidRPr="00F10029" w:rsidRDefault="00B40673" w:rsidP="00B40673">
      <w:pPr>
        <w:pStyle w:val="BodyText"/>
        <w:spacing w:before="2"/>
        <w:ind w:firstLine="0"/>
        <w:rPr>
          <w:b/>
          <w:sz w:val="16"/>
        </w:rPr>
      </w:pPr>
      <w:bookmarkStart w:id="4" w:name="_Hlk188100155"/>
      <w:r w:rsidRPr="00F10029">
        <w:t>The author's contributions to this research are as follows: Puji Sucia Sukmaningrum contributed to the creation and design of analyses and was primarily responsible for drafting and revising the manuscript. Nuradli Ridzwan Shah Bin Mohd Dali led the data collection process and provided the tools used for data analysis. Muhammad Madyan performed the statistical analysis, interpreted the results, and assisted in writing the manuscript, particularly in presenting the analysis findings. Nisful Laila contributed additional datasets and tools for data analysis, as well as assisted in performing the statistical tests and interpreting the findings. Tika Widiastuti played a significant role in designing the analysis and drafting sections of the manuscript, ensuring clarity and quality in the written content.</w:t>
      </w:r>
    </w:p>
    <w:p w14:paraId="57CBFB72" w14:textId="77777777" w:rsidR="00B40673" w:rsidRPr="00F10029" w:rsidRDefault="00B40673" w:rsidP="00B40673">
      <w:pPr>
        <w:pStyle w:val="Heading1"/>
        <w:spacing w:before="0" w:line="240" w:lineRule="auto"/>
        <w:jc w:val="both"/>
        <w:rPr>
          <w:rFonts w:ascii="Times New Roman" w:hAnsi="Times New Roman"/>
          <w:sz w:val="24"/>
          <w:szCs w:val="24"/>
        </w:rPr>
      </w:pPr>
    </w:p>
    <w:p w14:paraId="7AD3F83C" w14:textId="42C3421C" w:rsidR="00B40673" w:rsidRPr="00F10029" w:rsidRDefault="00B40673" w:rsidP="00B40673">
      <w:pPr>
        <w:pStyle w:val="Heading1"/>
        <w:spacing w:before="0" w:line="240" w:lineRule="auto"/>
        <w:jc w:val="both"/>
        <w:rPr>
          <w:rFonts w:ascii="Times New Roman" w:hAnsi="Times New Roman"/>
          <w:color w:val="auto"/>
          <w:sz w:val="24"/>
          <w:szCs w:val="24"/>
        </w:rPr>
      </w:pPr>
      <w:r w:rsidRPr="00F10029">
        <w:rPr>
          <w:rFonts w:ascii="Times New Roman" w:hAnsi="Times New Roman"/>
          <w:color w:val="auto"/>
          <w:sz w:val="24"/>
          <w:szCs w:val="24"/>
        </w:rPr>
        <w:t>Acknowledgments</w:t>
      </w:r>
    </w:p>
    <w:p w14:paraId="30E6FE40" w14:textId="77777777" w:rsidR="00B40673" w:rsidRPr="00F10029" w:rsidRDefault="00B40673" w:rsidP="00B40673">
      <w:pPr>
        <w:pStyle w:val="BodyText"/>
        <w:spacing w:after="0"/>
        <w:ind w:firstLine="0"/>
      </w:pPr>
      <w:r w:rsidRPr="00F10029">
        <w:t>Both</w:t>
      </w:r>
      <w:r w:rsidRPr="00F10029">
        <w:rPr>
          <w:spacing w:val="5"/>
        </w:rPr>
        <w:t xml:space="preserve"> </w:t>
      </w:r>
      <w:r w:rsidRPr="00F10029">
        <w:t>persons</w:t>
      </w:r>
      <w:r w:rsidRPr="00F10029">
        <w:rPr>
          <w:spacing w:val="4"/>
        </w:rPr>
        <w:t xml:space="preserve"> </w:t>
      </w:r>
      <w:r w:rsidRPr="00F10029">
        <w:t>and</w:t>
      </w:r>
      <w:r w:rsidRPr="00F10029">
        <w:rPr>
          <w:spacing w:val="1"/>
        </w:rPr>
        <w:t xml:space="preserve"> </w:t>
      </w:r>
      <w:r w:rsidRPr="00F10029">
        <w:t>institutions</w:t>
      </w:r>
      <w:r w:rsidRPr="00F10029">
        <w:rPr>
          <w:spacing w:val="4"/>
        </w:rPr>
        <w:t xml:space="preserve"> </w:t>
      </w:r>
      <w:r w:rsidRPr="00F10029">
        <w:t>with</w:t>
      </w:r>
      <w:r w:rsidRPr="00F10029">
        <w:rPr>
          <w:spacing w:val="2"/>
        </w:rPr>
        <w:t xml:space="preserve"> </w:t>
      </w:r>
      <w:r w:rsidRPr="00F10029">
        <w:t>contributions</w:t>
      </w:r>
      <w:r w:rsidRPr="00F10029">
        <w:rPr>
          <w:spacing w:val="5"/>
        </w:rPr>
        <w:t xml:space="preserve"> </w:t>
      </w:r>
      <w:r w:rsidRPr="00F10029">
        <w:t>to</w:t>
      </w:r>
      <w:r w:rsidRPr="00F10029">
        <w:rPr>
          <w:spacing w:val="1"/>
        </w:rPr>
        <w:t xml:space="preserve"> </w:t>
      </w:r>
      <w:r w:rsidRPr="00F10029">
        <w:t>the</w:t>
      </w:r>
      <w:r w:rsidRPr="00F10029">
        <w:rPr>
          <w:spacing w:val="6"/>
        </w:rPr>
        <w:t xml:space="preserve"> </w:t>
      </w:r>
      <w:r w:rsidRPr="00F10029">
        <w:t>paper-writing</w:t>
      </w:r>
      <w:r w:rsidRPr="00F10029">
        <w:rPr>
          <w:spacing w:val="6"/>
        </w:rPr>
        <w:t xml:space="preserve"> </w:t>
      </w:r>
      <w:r w:rsidRPr="00F10029">
        <w:t>process</w:t>
      </w:r>
      <w:r w:rsidRPr="00F10029">
        <w:rPr>
          <w:spacing w:val="4"/>
        </w:rPr>
        <w:t xml:space="preserve"> </w:t>
      </w:r>
      <w:r w:rsidRPr="00F10029">
        <w:t>can</w:t>
      </w:r>
      <w:r w:rsidRPr="00F10029">
        <w:rPr>
          <w:spacing w:val="5"/>
        </w:rPr>
        <w:t xml:space="preserve"> </w:t>
      </w:r>
      <w:r w:rsidRPr="00F10029">
        <w:t>be</w:t>
      </w:r>
      <w:r w:rsidRPr="00F10029">
        <w:rPr>
          <w:spacing w:val="-1"/>
        </w:rPr>
        <w:t xml:space="preserve"> </w:t>
      </w:r>
      <w:r w:rsidRPr="00F10029">
        <w:t>mentioned</w:t>
      </w:r>
      <w:r w:rsidRPr="00F10029">
        <w:rPr>
          <w:spacing w:val="-57"/>
        </w:rPr>
        <w:t xml:space="preserve"> </w:t>
      </w:r>
      <w:r w:rsidRPr="00F10029">
        <w:t>here.</w:t>
      </w:r>
    </w:p>
    <w:p w14:paraId="28B498D2" w14:textId="77777777" w:rsidR="00B40673" w:rsidRPr="00F10029" w:rsidRDefault="00B40673" w:rsidP="00B40673">
      <w:pPr>
        <w:pStyle w:val="BodyText"/>
        <w:spacing w:after="0"/>
        <w:ind w:left="425"/>
      </w:pPr>
    </w:p>
    <w:p w14:paraId="33577347" w14:textId="77777777" w:rsidR="00B40673" w:rsidRPr="00F10029" w:rsidRDefault="00B40673" w:rsidP="00B40673">
      <w:pPr>
        <w:pStyle w:val="Heading1"/>
        <w:spacing w:before="0" w:line="240" w:lineRule="auto"/>
        <w:jc w:val="both"/>
        <w:rPr>
          <w:rFonts w:ascii="Times New Roman" w:hAnsi="Times New Roman"/>
          <w:color w:val="auto"/>
          <w:sz w:val="24"/>
          <w:szCs w:val="24"/>
        </w:rPr>
      </w:pPr>
      <w:r w:rsidRPr="00F10029">
        <w:rPr>
          <w:rFonts w:ascii="Times New Roman" w:hAnsi="Times New Roman"/>
          <w:color w:val="auto"/>
          <w:sz w:val="24"/>
          <w:szCs w:val="24"/>
        </w:rPr>
        <w:t>Declaration</w:t>
      </w:r>
      <w:r w:rsidRPr="00F10029">
        <w:rPr>
          <w:rFonts w:ascii="Times New Roman" w:hAnsi="Times New Roman"/>
          <w:color w:val="auto"/>
          <w:spacing w:val="-4"/>
          <w:sz w:val="24"/>
          <w:szCs w:val="24"/>
        </w:rPr>
        <w:t xml:space="preserve"> </w:t>
      </w:r>
      <w:r w:rsidRPr="00F10029">
        <w:rPr>
          <w:rFonts w:ascii="Times New Roman" w:hAnsi="Times New Roman"/>
          <w:color w:val="auto"/>
          <w:sz w:val="24"/>
          <w:szCs w:val="24"/>
        </w:rPr>
        <w:t>of</w:t>
      </w:r>
      <w:r w:rsidRPr="00F10029">
        <w:rPr>
          <w:rFonts w:ascii="Times New Roman" w:hAnsi="Times New Roman"/>
          <w:color w:val="auto"/>
          <w:spacing w:val="-1"/>
          <w:sz w:val="24"/>
          <w:szCs w:val="24"/>
        </w:rPr>
        <w:t xml:space="preserve"> </w:t>
      </w:r>
      <w:r w:rsidRPr="00F10029">
        <w:rPr>
          <w:rFonts w:ascii="Times New Roman" w:hAnsi="Times New Roman"/>
          <w:color w:val="auto"/>
          <w:sz w:val="24"/>
          <w:szCs w:val="24"/>
        </w:rPr>
        <w:t>Competing</w:t>
      </w:r>
      <w:r w:rsidRPr="00F10029">
        <w:rPr>
          <w:rFonts w:ascii="Times New Roman" w:hAnsi="Times New Roman"/>
          <w:color w:val="auto"/>
          <w:spacing w:val="-1"/>
          <w:sz w:val="24"/>
          <w:szCs w:val="24"/>
        </w:rPr>
        <w:t xml:space="preserve"> </w:t>
      </w:r>
      <w:r w:rsidRPr="00F10029">
        <w:rPr>
          <w:rFonts w:ascii="Times New Roman" w:hAnsi="Times New Roman"/>
          <w:color w:val="auto"/>
          <w:sz w:val="24"/>
          <w:szCs w:val="24"/>
        </w:rPr>
        <w:t>Interest</w:t>
      </w:r>
    </w:p>
    <w:p w14:paraId="3CEE2D1B" w14:textId="77777777" w:rsidR="00B40673" w:rsidRPr="00F10029" w:rsidRDefault="00B40673" w:rsidP="00B40673">
      <w:pPr>
        <w:pStyle w:val="BodyText"/>
        <w:spacing w:after="0"/>
        <w:ind w:firstLine="0"/>
        <w:rPr>
          <w:lang w:val="id-ID"/>
        </w:rPr>
      </w:pPr>
      <w:r w:rsidRPr="00F10029">
        <w:rPr>
          <w:lang w:val="id-ID"/>
        </w:rPr>
        <w:t xml:space="preserve">All these authors have no competing interests. </w:t>
      </w:r>
    </w:p>
    <w:bookmarkEnd w:id="4"/>
    <w:p w14:paraId="280863B9" w14:textId="77777777" w:rsidR="0039678F" w:rsidRPr="00F10029" w:rsidRDefault="0039678F" w:rsidP="00D845AA">
      <w:pPr>
        <w:spacing w:after="0" w:line="240" w:lineRule="auto"/>
        <w:ind w:left="567" w:hanging="567"/>
        <w:jc w:val="both"/>
        <w:rPr>
          <w:rFonts w:ascii="Times New Roman" w:hAnsi="Times New Roman" w:cs="Times New Roman"/>
          <w:b/>
          <w:sz w:val="24"/>
          <w:szCs w:val="24"/>
          <w:lang w:val="en-ID"/>
        </w:rPr>
      </w:pPr>
    </w:p>
    <w:p w14:paraId="5925A4CE" w14:textId="6ABE77D7" w:rsidR="00A47123" w:rsidRPr="00F10029" w:rsidRDefault="008176B0" w:rsidP="002874AD">
      <w:pPr>
        <w:spacing w:after="0" w:line="240" w:lineRule="auto"/>
        <w:ind w:left="567" w:hanging="567"/>
        <w:jc w:val="both"/>
        <w:rPr>
          <w:rFonts w:ascii="Times New Roman" w:hAnsi="Times New Roman" w:cs="Times New Roman"/>
          <w:b/>
          <w:sz w:val="24"/>
          <w:szCs w:val="24"/>
          <w:lang w:val="en-ID"/>
        </w:rPr>
      </w:pPr>
      <w:r w:rsidRPr="00F10029">
        <w:rPr>
          <w:rFonts w:ascii="Times New Roman" w:hAnsi="Times New Roman" w:cs="Times New Roman"/>
          <w:b/>
          <w:sz w:val="24"/>
          <w:szCs w:val="24"/>
          <w:lang w:val="en-ID"/>
        </w:rPr>
        <w:t xml:space="preserve">References </w:t>
      </w:r>
      <w:r w:rsidR="007A372A" w:rsidRPr="00F10029">
        <w:rPr>
          <w:rFonts w:ascii="Times New Roman" w:hAnsi="Times New Roman" w:cs="Times New Roman"/>
          <w:b/>
          <w:sz w:val="24"/>
          <w:szCs w:val="24"/>
          <w:lang w:val="en-ID"/>
        </w:rPr>
        <w:t xml:space="preserve"> </w:t>
      </w:r>
    </w:p>
    <w:p w14:paraId="2464721D" w14:textId="23F35F04"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Al-Awadhi, A. M., Alsaifi, K., Al-Awadhi, A., &amp; Alhammadi, S. (2020). Death and contagious infectious diseases: Impact of the COVID-19 virus on stock market returns. Journal of Behavioral and Experimental Finance, 27, 100326. </w:t>
      </w:r>
      <w:hyperlink r:id="rId16" w:history="1">
        <w:r w:rsidRPr="00F10029">
          <w:rPr>
            <w:rStyle w:val="Hyperlink"/>
            <w:rFonts w:ascii="Times New Roman" w:hAnsi="Times New Roman" w:cs="Times New Roman"/>
            <w:spacing w:val="-2"/>
            <w:sz w:val="24"/>
            <w:szCs w:val="24"/>
            <w:u w:val="none"/>
          </w:rPr>
          <w:t>https://doi.org/10.1016/j.jbef.2020.100326</w:t>
        </w:r>
      </w:hyperlink>
    </w:p>
    <w:p w14:paraId="3C7A7D94" w14:textId="7777777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Aldin, I. U. (2019). Naik 1,7% Selama 2019, IHSG Kalah oleh 3 Bursa Negara di Asia Tenggara.</w:t>
      </w:r>
    </w:p>
    <w:p w14:paraId="423075B3" w14:textId="73AA63FA"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Alsaifi, K., Elnahass, M., &amp; Salama, A. (2020). Market responses to firms’ voluntary carbon disclosure: Empirical evidence from the United Kingdom. Journal of Cleaner Production, 262, 1–11. </w:t>
      </w:r>
      <w:hyperlink r:id="rId17" w:history="1">
        <w:r w:rsidRPr="00F10029">
          <w:rPr>
            <w:rStyle w:val="Hyperlink"/>
            <w:rFonts w:ascii="Times New Roman" w:hAnsi="Times New Roman" w:cs="Times New Roman"/>
            <w:spacing w:val="-2"/>
            <w:sz w:val="24"/>
            <w:szCs w:val="24"/>
            <w:u w:val="none"/>
          </w:rPr>
          <w:t>https://doi.org/10.1016/j.jclepro.2020.121377</w:t>
        </w:r>
      </w:hyperlink>
    </w:p>
    <w:p w14:paraId="5820332F" w14:textId="1362F84B"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Alzahrani, M. (2019). Islamic corporate finance, financial markets, and institutions: An overview. Journal of Corporate Finance, 55(December 2018), 1–5. </w:t>
      </w:r>
      <w:hyperlink r:id="rId18" w:history="1">
        <w:r w:rsidRPr="00F10029">
          <w:rPr>
            <w:rStyle w:val="Hyperlink"/>
            <w:rFonts w:ascii="Times New Roman" w:hAnsi="Times New Roman" w:cs="Times New Roman"/>
            <w:spacing w:val="-2"/>
            <w:sz w:val="24"/>
            <w:szCs w:val="24"/>
            <w:u w:val="none"/>
          </w:rPr>
          <w:t>https://doi.org/10.1016/j.jcorpfin.2018.11.008</w:t>
        </w:r>
      </w:hyperlink>
    </w:p>
    <w:p w14:paraId="66588623" w14:textId="4FA1E07E"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Anh, D. L. T., &amp; Gan, C. (2020). The impact of the COVID-19 lockdown on stock market performance: evidence from Vietnam. Journal of Economic Studies. </w:t>
      </w:r>
      <w:hyperlink r:id="rId19" w:history="1">
        <w:r w:rsidRPr="00F10029">
          <w:rPr>
            <w:rStyle w:val="Hyperlink"/>
            <w:rFonts w:ascii="Times New Roman" w:hAnsi="Times New Roman" w:cs="Times New Roman"/>
            <w:spacing w:val="-2"/>
            <w:sz w:val="24"/>
            <w:szCs w:val="24"/>
            <w:u w:val="none"/>
          </w:rPr>
          <w:t>https://doi.org/10.1108/JES-06-2020-0312</w:t>
        </w:r>
      </w:hyperlink>
    </w:p>
    <w:p w14:paraId="6D1ED46A" w14:textId="7777777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Arief, T. (2018). Menjadi Terbaik Kedua di Asia, Ini Pencapaian Kinerja IHSG Sepanjang 2018.</w:t>
      </w:r>
    </w:p>
    <w:p w14:paraId="52C7CF55" w14:textId="40C6E26B"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Baaquie, B. E. (2020). Merton’s equation and the quantum oscillator: Pricing risky corporate coupon bonds. Physica A: Statistical Mechanics and Its Applications, 541. </w:t>
      </w:r>
      <w:hyperlink r:id="rId20" w:history="1">
        <w:r w:rsidRPr="00F10029">
          <w:rPr>
            <w:rStyle w:val="Hyperlink"/>
            <w:rFonts w:ascii="Times New Roman" w:hAnsi="Times New Roman" w:cs="Times New Roman"/>
            <w:spacing w:val="-2"/>
            <w:sz w:val="24"/>
            <w:szCs w:val="24"/>
            <w:u w:val="none"/>
          </w:rPr>
          <w:t>https://doi.org/10.1016/j.physa.2019.123367</w:t>
        </w:r>
      </w:hyperlink>
    </w:p>
    <w:p w14:paraId="5669CE36" w14:textId="79B12C69"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Bai, L., Wei, Y., Wei, G., Li, X., &amp; Zhang, S. (2020). Infectious disease pandemic and permanent volatility of international stock markets: A long-term perspective. Finance Research Letters, May, 101709. </w:t>
      </w:r>
      <w:hyperlink r:id="rId21" w:history="1">
        <w:r w:rsidRPr="00F10029">
          <w:rPr>
            <w:rStyle w:val="Hyperlink"/>
            <w:rFonts w:ascii="Times New Roman" w:hAnsi="Times New Roman" w:cs="Times New Roman"/>
            <w:spacing w:val="-2"/>
            <w:sz w:val="24"/>
            <w:szCs w:val="24"/>
            <w:u w:val="none"/>
          </w:rPr>
          <w:t>https://doi.org/10.1016/j.frl.2020.101709</w:t>
        </w:r>
      </w:hyperlink>
    </w:p>
    <w:p w14:paraId="3418E1C2" w14:textId="62EB3EC5"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lastRenderedPageBreak/>
        <w:t xml:space="preserve">Baig, A. S., Butt, H. A., Haroon, O., &amp; Rizvi, S. A. R. (2020). Deaths, panic, lockdowns and US equity markets: The case of COVID-19 pandemic. Finance Research Letters, 1–9. </w:t>
      </w:r>
      <w:hyperlink r:id="rId22" w:history="1">
        <w:r w:rsidRPr="00F10029">
          <w:rPr>
            <w:rStyle w:val="Hyperlink"/>
            <w:rFonts w:ascii="Times New Roman" w:hAnsi="Times New Roman" w:cs="Times New Roman"/>
            <w:spacing w:val="-2"/>
            <w:sz w:val="24"/>
            <w:szCs w:val="24"/>
            <w:u w:val="none"/>
          </w:rPr>
          <w:t>https://doi.org/10.1016/j.frl.2020.101701</w:t>
        </w:r>
      </w:hyperlink>
    </w:p>
    <w:p w14:paraId="399997C8" w14:textId="619B7CE5"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Bash, A., &amp; Alsaifi, K. (2019). Fear from uncertainty: An event study of Khashoggi and stock market returns. Journal of Behavioral and Experimental Finance, 23, 54–58. </w:t>
      </w:r>
      <w:hyperlink r:id="rId23" w:history="1">
        <w:r w:rsidRPr="00F10029">
          <w:rPr>
            <w:rStyle w:val="Hyperlink"/>
            <w:rFonts w:ascii="Times New Roman" w:hAnsi="Times New Roman" w:cs="Times New Roman"/>
            <w:spacing w:val="-2"/>
            <w:sz w:val="24"/>
            <w:szCs w:val="24"/>
            <w:u w:val="none"/>
          </w:rPr>
          <w:t>https://doi.org/10.1016/j.jbef.2019.05.004</w:t>
        </w:r>
      </w:hyperlink>
    </w:p>
    <w:p w14:paraId="5460B85C" w14:textId="2642087F"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BenSaïda, A. (2017). Herding effect on idiosyncratic volatility in U.S. industries. Finance Research Letters, 23, 121–132. </w:t>
      </w:r>
      <w:hyperlink r:id="rId24" w:history="1">
        <w:r w:rsidRPr="00F10029">
          <w:rPr>
            <w:rStyle w:val="Hyperlink"/>
            <w:rFonts w:ascii="Times New Roman" w:hAnsi="Times New Roman" w:cs="Times New Roman"/>
            <w:spacing w:val="-2"/>
            <w:sz w:val="24"/>
            <w:szCs w:val="24"/>
            <w:u w:val="none"/>
          </w:rPr>
          <w:t>https://doi.org/10.1016/j.frl.2017.03.001</w:t>
        </w:r>
      </w:hyperlink>
    </w:p>
    <w:p w14:paraId="1D8D800F" w14:textId="7777777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Bisnis.com. (2020). Saham Farmasi Kembali Menggila, Bagaimana Prospeknya? Artikel ini telah tayang di Bisnis.com dengan judul “Saham Farmasi Kembali Menggila, Bagaimana Prospeknya?”, Klik selengkapnya di sini: https://market.bisnis.com/read/20200925/189/1296697/saham-farmasi.</w:t>
      </w:r>
    </w:p>
    <w:p w14:paraId="587682BC" w14:textId="5F57A09A"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Bowman, R. G. (1983). Understanding and Conducting Event Studies. Journal of Business Finance &amp; Accounting, 10(4), 561–584. </w:t>
      </w:r>
      <w:hyperlink r:id="rId25" w:history="1">
        <w:r w:rsidRPr="00F10029">
          <w:rPr>
            <w:rStyle w:val="Hyperlink"/>
            <w:rFonts w:ascii="Times New Roman" w:hAnsi="Times New Roman" w:cs="Times New Roman"/>
            <w:spacing w:val="-2"/>
            <w:sz w:val="24"/>
            <w:szCs w:val="24"/>
            <w:u w:val="none"/>
          </w:rPr>
          <w:t>https://doi.org/10.1111/j.1468-5957.1983.tb00453.x</w:t>
        </w:r>
      </w:hyperlink>
    </w:p>
    <w:p w14:paraId="5582447B" w14:textId="7777777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BPS. (2020). Ekonomi Indonesia Triwulan II 2020 Turun 5,32 Persen.</w:t>
      </w:r>
    </w:p>
    <w:p w14:paraId="018A08E4" w14:textId="7809678E"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Brown, S. J., &amp; Warner, J. B. (1985). Using daily stock returns: The case of event studies. Journal of Financial Economics, 14, 3–31. </w:t>
      </w:r>
      <w:hyperlink r:id="rId26" w:history="1">
        <w:r w:rsidRPr="00F10029">
          <w:rPr>
            <w:rStyle w:val="Hyperlink"/>
            <w:rFonts w:ascii="Times New Roman" w:hAnsi="Times New Roman" w:cs="Times New Roman"/>
            <w:spacing w:val="-2"/>
            <w:sz w:val="24"/>
            <w:szCs w:val="24"/>
            <w:u w:val="none"/>
          </w:rPr>
          <w:t>https://doi.org/10.1016/0304-405X(85)90042-X</w:t>
        </w:r>
      </w:hyperlink>
    </w:p>
    <w:p w14:paraId="2783BD04" w14:textId="5913270F"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Buhagiar, R., Cortis, D., &amp; Newall, P. W. S. (2018). Why do some soccer bettors lose more money than others? Journal of Behavioral and Experimental Finance, 18, 85–93. </w:t>
      </w:r>
      <w:hyperlink r:id="rId27" w:history="1">
        <w:r w:rsidRPr="00F10029">
          <w:rPr>
            <w:rStyle w:val="Hyperlink"/>
            <w:rFonts w:ascii="Times New Roman" w:hAnsi="Times New Roman" w:cs="Times New Roman"/>
            <w:spacing w:val="-2"/>
            <w:sz w:val="24"/>
            <w:szCs w:val="24"/>
            <w:u w:val="none"/>
          </w:rPr>
          <w:t>https://doi.org/10.1016/j.jbef.2018.01.010</w:t>
        </w:r>
      </w:hyperlink>
    </w:p>
    <w:p w14:paraId="03F7000D" w14:textId="0857B6DE"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Campbell, J. Y., Lo, A. W., &amp; MacKinlay, A. C. (1997). Event-Study Analysis. In The Econometrics of Financial Markets (pp. 149–180). Princeton University Press. </w:t>
      </w:r>
      <w:hyperlink r:id="rId28" w:history="1">
        <w:r w:rsidRPr="00F10029">
          <w:rPr>
            <w:rStyle w:val="Hyperlink"/>
            <w:rFonts w:ascii="Times New Roman" w:hAnsi="Times New Roman" w:cs="Times New Roman"/>
            <w:spacing w:val="-2"/>
            <w:sz w:val="24"/>
            <w:szCs w:val="24"/>
            <w:u w:val="none"/>
          </w:rPr>
          <w:t>https://doi.org/10.1515/9781400830213-008</w:t>
        </w:r>
      </w:hyperlink>
    </w:p>
    <w:p w14:paraId="35C9972D" w14:textId="3DCE758C"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Chen, C.-D., Chen, C.-C., Tang, W.-W., &amp; Huang, B.-Y. (2009). The Positive and Negative Impacts of the Sars Outbreak: A Case of the Taiwan Industries. The Journal of Developing Areas, 43(1), 281–293. </w:t>
      </w:r>
      <w:hyperlink r:id="rId29" w:history="1">
        <w:r w:rsidRPr="00F10029">
          <w:rPr>
            <w:rStyle w:val="Hyperlink"/>
            <w:rFonts w:ascii="Times New Roman" w:hAnsi="Times New Roman" w:cs="Times New Roman"/>
            <w:spacing w:val="-2"/>
            <w:sz w:val="24"/>
            <w:szCs w:val="24"/>
            <w:u w:val="none"/>
          </w:rPr>
          <w:t>https://doi.org/10.1353/jda.0.0041</w:t>
        </w:r>
      </w:hyperlink>
    </w:p>
    <w:p w14:paraId="11B96E22" w14:textId="6B4F934A"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Chen, M.-H., Jang, S. C. (Shawn), &amp; Kim, W. G. (2007). The impact of the SARS outbreak on Taiwanese hotel stock performance: An event-study approach. International Journal of Hospitality Management, 26(1), 200–212. </w:t>
      </w:r>
      <w:hyperlink r:id="rId30" w:history="1">
        <w:r w:rsidRPr="00F10029">
          <w:rPr>
            <w:rStyle w:val="Hyperlink"/>
            <w:rFonts w:ascii="Times New Roman" w:hAnsi="Times New Roman" w:cs="Times New Roman"/>
            <w:spacing w:val="-2"/>
            <w:sz w:val="24"/>
            <w:szCs w:val="24"/>
            <w:u w:val="none"/>
          </w:rPr>
          <w:t>https://doi.org/10.1016/j.ijhm.2005.11.004</w:t>
        </w:r>
      </w:hyperlink>
    </w:p>
    <w:p w14:paraId="11C2C2CE" w14:textId="7777777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Demus, M. N. (2021). Punya prospek positif, cemati saham sektor transportasi dan logistik berikut ini.</w:t>
      </w:r>
    </w:p>
    <w:p w14:paraId="77B81201" w14:textId="6ACBC3DE"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Dyckman, T., Philbrick, D., &amp; Stephan, J. (1984). A Comparison of Event Study Methodologies Using Daily Stock Returns: A Simulation Approach. Journal of Accounting Research, 22, 1–30. </w:t>
      </w:r>
      <w:hyperlink r:id="rId31" w:history="1">
        <w:r w:rsidRPr="00F10029">
          <w:rPr>
            <w:rStyle w:val="Hyperlink"/>
            <w:rFonts w:ascii="Times New Roman" w:hAnsi="Times New Roman" w:cs="Times New Roman"/>
            <w:spacing w:val="-2"/>
            <w:sz w:val="24"/>
            <w:szCs w:val="24"/>
            <w:u w:val="none"/>
          </w:rPr>
          <w:t>https://doi.org/10.2307/2490855</w:t>
        </w:r>
      </w:hyperlink>
    </w:p>
    <w:p w14:paraId="6B97A0E7" w14:textId="7777777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Eleftheriou, K., &amp; Patsoulis, P. (2020). COVID-19 Lockdown Intensity and Stock Market Returns: A Spatial Econometrics Approach (100662; Issue May).</w:t>
      </w:r>
    </w:p>
    <w:p w14:paraId="3304B787" w14:textId="7777777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Fama, E. F. (1970). Efficient Capital Markets: A Review of Theory and Empirical Work. The Journal of Finance, 25(2).</w:t>
      </w:r>
    </w:p>
    <w:p w14:paraId="57018863" w14:textId="5BCB7643"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Faozan, A. (2013). Konsep Pasar Modal Syariah. Muqtasid: Jurnal Ekonomi Dan Perbankan Syariah, 4(2), 287. </w:t>
      </w:r>
      <w:hyperlink r:id="rId32" w:history="1">
        <w:r w:rsidRPr="00F10029">
          <w:rPr>
            <w:rStyle w:val="Hyperlink"/>
            <w:rFonts w:ascii="Times New Roman" w:hAnsi="Times New Roman" w:cs="Times New Roman"/>
            <w:spacing w:val="-2"/>
            <w:sz w:val="24"/>
            <w:szCs w:val="24"/>
            <w:u w:val="none"/>
          </w:rPr>
          <w:t>https://doi.org/10.18326/muqtasid.v4i2.287-310</w:t>
        </w:r>
      </w:hyperlink>
    </w:p>
    <w:p w14:paraId="70DA2FB4" w14:textId="7777777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Gujarati, D. N., &amp; Porter, D. C. (2009). Basic Econometrics (5th ed.). McGraw-Hill/Irwin.</w:t>
      </w:r>
    </w:p>
    <w:p w14:paraId="7D650240" w14:textId="1100EC9B"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Guo, M., Kuai, Y., &amp; Liu, X. (2020). Stock market response to environmental policies: Evidence from heavily polluting firms in China. Economic Modelling, 86, 306–316. </w:t>
      </w:r>
      <w:hyperlink r:id="rId33" w:history="1">
        <w:r w:rsidRPr="00F10029">
          <w:rPr>
            <w:rStyle w:val="Hyperlink"/>
            <w:rFonts w:ascii="Times New Roman" w:hAnsi="Times New Roman" w:cs="Times New Roman"/>
            <w:spacing w:val="-2"/>
            <w:sz w:val="24"/>
            <w:szCs w:val="24"/>
            <w:u w:val="none"/>
          </w:rPr>
          <w:t>https://doi.org/10.1016/j.econmod.2019.09.028</w:t>
        </w:r>
      </w:hyperlink>
    </w:p>
    <w:p w14:paraId="271446D0" w14:textId="4CE48DCD"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Habibi, A., Normasyhuri, K., &amp; Anggraeni, E. (2022). The Indonesian Sharia Capital Market in Shock Covid-19: Global Market Interaction. Equilibrium: Jurnal Ekonomi Syariah, 10(2), 381. </w:t>
      </w:r>
      <w:hyperlink r:id="rId34" w:history="1">
        <w:r w:rsidRPr="00F10029">
          <w:rPr>
            <w:rStyle w:val="Hyperlink"/>
            <w:rFonts w:ascii="Times New Roman" w:hAnsi="Times New Roman" w:cs="Times New Roman"/>
            <w:spacing w:val="-2"/>
            <w:sz w:val="24"/>
            <w:szCs w:val="24"/>
            <w:u w:val="none"/>
          </w:rPr>
          <w:t>https://doi.org/10.21043/equilibrium.v10i2.16457</w:t>
        </w:r>
      </w:hyperlink>
    </w:p>
    <w:p w14:paraId="4FED7340" w14:textId="2752871C"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lastRenderedPageBreak/>
        <w:t xml:space="preserve">He, P., Sun, Y., Zhang, Y., &amp; Li, T. (2020). COVID–19’s Impact on Stock Prices Across Different Sectors—An Event Study Based on the Chinese Stock Market. Emerging Markets Finance and Trade, 56(10), 2198–2212. </w:t>
      </w:r>
      <w:hyperlink r:id="rId35" w:history="1">
        <w:r w:rsidRPr="00F10029">
          <w:rPr>
            <w:rStyle w:val="Hyperlink"/>
            <w:rFonts w:ascii="Times New Roman" w:hAnsi="Times New Roman" w:cs="Times New Roman"/>
            <w:spacing w:val="-2"/>
            <w:sz w:val="24"/>
            <w:szCs w:val="24"/>
            <w:u w:val="none"/>
          </w:rPr>
          <w:t>https://doi.org/10.1080/1540496X.2020.1785865</w:t>
        </w:r>
      </w:hyperlink>
    </w:p>
    <w:p w14:paraId="636B4859" w14:textId="09E2F625"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Hendratmi, A., Salleh, M. C. M., Sukmaningrum, P. S., &amp; Ratnasari, R. T. (2024). Toward SDG’s 8: How sustainability livelihood affecting survival strategy of woman entrepreneurs in Indonesia. World Development Sustainability, 5, 100175. </w:t>
      </w:r>
      <w:hyperlink r:id="rId36" w:history="1">
        <w:r w:rsidRPr="00F10029">
          <w:rPr>
            <w:rStyle w:val="Hyperlink"/>
            <w:rFonts w:ascii="Times New Roman" w:hAnsi="Times New Roman" w:cs="Times New Roman"/>
            <w:spacing w:val="-2"/>
            <w:sz w:val="24"/>
            <w:szCs w:val="24"/>
            <w:u w:val="none"/>
          </w:rPr>
          <w:t>https://doi.org/https://doi.org/10.1016/j.wds.2024.100175</w:t>
        </w:r>
      </w:hyperlink>
    </w:p>
    <w:p w14:paraId="25C35FF7" w14:textId="03213CAA"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Hsieh, H. C. S. (2014). The causal relationships between stock returns, trading volume, and volatility: Empirical evidence from Asian listed real estate companies. International Journal of Managerial Finance, 10(2), 218–240. </w:t>
      </w:r>
      <w:hyperlink r:id="rId37" w:history="1">
        <w:r w:rsidRPr="00F10029">
          <w:rPr>
            <w:rStyle w:val="Hyperlink"/>
            <w:rFonts w:ascii="Times New Roman" w:hAnsi="Times New Roman" w:cs="Times New Roman"/>
            <w:spacing w:val="-2"/>
            <w:sz w:val="24"/>
            <w:szCs w:val="24"/>
            <w:u w:val="none"/>
          </w:rPr>
          <w:t>https://doi.org/10.1108/IJMF-10-2013-0103</w:t>
        </w:r>
      </w:hyperlink>
    </w:p>
    <w:p w14:paraId="53455435" w14:textId="49C1F080"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Ichev, R., &amp; Marinč, M. (2018). Stock prices and geographic proximity of information: Evidence from the Ebola outbreak. International Review of Financial Analysis, 56, 153–166. </w:t>
      </w:r>
      <w:hyperlink r:id="rId38" w:history="1">
        <w:r w:rsidRPr="00F10029">
          <w:rPr>
            <w:rStyle w:val="Hyperlink"/>
            <w:rFonts w:ascii="Times New Roman" w:hAnsi="Times New Roman" w:cs="Times New Roman"/>
            <w:spacing w:val="-2"/>
            <w:sz w:val="24"/>
            <w:szCs w:val="24"/>
            <w:u w:val="none"/>
          </w:rPr>
          <w:t>https://doi.org/10.1016/j.irfa.2017.12.004</w:t>
        </w:r>
      </w:hyperlink>
    </w:p>
    <w:p w14:paraId="25BC480D" w14:textId="7777777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IDX. (2019). IDX factbook 2019. PT Bursa Efek Indonesia.</w:t>
      </w:r>
    </w:p>
    <w:p w14:paraId="4324E98C" w14:textId="7777777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IDX. (2020). IDX Monthly Statistics.</w:t>
      </w:r>
    </w:p>
    <w:p w14:paraId="7A207CFE" w14:textId="7777777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Ihsanudin. (2020). BREAKING NEWS: Jokowi Umumkan Dua Orang di Indonesia Positif Corona.</w:t>
      </w:r>
    </w:p>
    <w:p w14:paraId="4B681402" w14:textId="7777777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IMF. (2020). A Crisis Like No Other, An Uncertain Recovery.</w:t>
      </w:r>
    </w:p>
    <w:p w14:paraId="72D474C1" w14:textId="57FAE73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Kowalewski, O., &amp; Śpiewanowski, P. (2020). Stock market response to potash mine disasters. Journal of Commodity Markets, 20, 1–22. </w:t>
      </w:r>
      <w:hyperlink r:id="rId39" w:history="1">
        <w:r w:rsidRPr="00F10029">
          <w:rPr>
            <w:rStyle w:val="Hyperlink"/>
            <w:rFonts w:ascii="Times New Roman" w:hAnsi="Times New Roman" w:cs="Times New Roman"/>
            <w:spacing w:val="-2"/>
            <w:sz w:val="24"/>
            <w:szCs w:val="24"/>
            <w:u w:val="none"/>
          </w:rPr>
          <w:t>https://doi.org/10.1016/j.jcomm.2020.100124</w:t>
        </w:r>
      </w:hyperlink>
    </w:p>
    <w:p w14:paraId="5B8FFCC2" w14:textId="17835803"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Li, K. (2018). Reaction to news in the Chinese stock market: A study on Xiong’an New Area Strategy. Journal of Behavioral and Experimental Finance, 19, 36–38. </w:t>
      </w:r>
      <w:hyperlink r:id="rId40" w:history="1">
        <w:r w:rsidRPr="00F10029">
          <w:rPr>
            <w:rStyle w:val="Hyperlink"/>
            <w:rFonts w:ascii="Times New Roman" w:hAnsi="Times New Roman" w:cs="Times New Roman"/>
            <w:spacing w:val="-2"/>
            <w:sz w:val="24"/>
            <w:szCs w:val="24"/>
            <w:u w:val="none"/>
          </w:rPr>
          <w:t>https://doi.org/10.1016/j.jbef.2018.03.004</w:t>
        </w:r>
      </w:hyperlink>
    </w:p>
    <w:p w14:paraId="3DE08701" w14:textId="6099BEF6"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Litimi, H., BenSaïda, A., &amp; Bouraoui, O. (2016). Herding and excessive risk in the American stock market: A sectoral analysis. Research in International Business and Finance, 38, 6–21. </w:t>
      </w:r>
      <w:hyperlink r:id="rId41" w:history="1">
        <w:r w:rsidRPr="00F10029">
          <w:rPr>
            <w:rStyle w:val="Hyperlink"/>
            <w:rFonts w:ascii="Times New Roman" w:hAnsi="Times New Roman" w:cs="Times New Roman"/>
            <w:spacing w:val="-2"/>
            <w:sz w:val="24"/>
            <w:szCs w:val="24"/>
            <w:u w:val="none"/>
          </w:rPr>
          <w:t>https://doi.org/10.1016/j.ribaf.2016.03.008</w:t>
        </w:r>
      </w:hyperlink>
    </w:p>
    <w:p w14:paraId="69A7F3BF" w14:textId="78D7F7D3"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Liu, H., Manzoor, A., Wang, C., Zhang, L., &amp; Manzoor, Z. (2020). The COVID-19 outbreak and affected countries stock markets response. International Journal of Environmental Research and Public Health, 17(8), 1–19. </w:t>
      </w:r>
      <w:hyperlink r:id="rId42" w:history="1">
        <w:r w:rsidRPr="00F10029">
          <w:rPr>
            <w:rStyle w:val="Hyperlink"/>
            <w:rFonts w:ascii="Times New Roman" w:hAnsi="Times New Roman" w:cs="Times New Roman"/>
            <w:spacing w:val="-2"/>
            <w:sz w:val="24"/>
            <w:szCs w:val="24"/>
            <w:u w:val="none"/>
          </w:rPr>
          <w:t>https://doi.org/10.3390/ijerph17082800</w:t>
        </w:r>
      </w:hyperlink>
    </w:p>
    <w:p w14:paraId="6B3EE40A" w14:textId="7777777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Melani, A. (2021). Peluang Besar Kontribusi Pasar Modal terhadap Ekonomi RI.</w:t>
      </w:r>
    </w:p>
    <w:p w14:paraId="66BF44EC" w14:textId="7C20EAD1"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Narayan, P. K., Phan, D. H. B., &amp; Liu, G. (2020). COVID-19 lockdowns, stimulus packages, travel bans, and stock returns. Finance Research Letters, 1–7. </w:t>
      </w:r>
      <w:hyperlink r:id="rId43" w:history="1">
        <w:r w:rsidRPr="00F10029">
          <w:rPr>
            <w:rStyle w:val="Hyperlink"/>
            <w:rFonts w:ascii="Times New Roman" w:hAnsi="Times New Roman" w:cs="Times New Roman"/>
            <w:spacing w:val="-2"/>
            <w:sz w:val="24"/>
            <w:szCs w:val="24"/>
            <w:u w:val="none"/>
          </w:rPr>
          <w:t>https://doi.org/10.1016/j.frl.2020.101732</w:t>
        </w:r>
      </w:hyperlink>
    </w:p>
    <w:p w14:paraId="52C40426" w14:textId="7777777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Ocktaviani, S. (2020). Saham emiten telekomunikasi dinilai masih menarik.</w:t>
      </w:r>
    </w:p>
    <w:p w14:paraId="44E00DA8" w14:textId="7777777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Roxby, P. (2020). Coronavirus confirmed as pandemic by World Health Organization.</w:t>
      </w:r>
    </w:p>
    <w:p w14:paraId="6278B66D" w14:textId="7777777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Selasi, D. (2020). Dampak Pandemic Disease Terhadap Perkembangan Pasar Modal Syariah Di Indonesia. Jurnal Ilmiah Indonesia, 5(5), 46–54.</w:t>
      </w:r>
    </w:p>
    <w:p w14:paraId="4BFB6FFA" w14:textId="0EC2C8D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Shanaev, S., &amp; Ghimire, B. (2019). Is all politics local? Regional political risk in Russia and the panel of stock returns. Journal of Behavioral and Experimental Finance, 21, 70–82. </w:t>
      </w:r>
      <w:hyperlink r:id="rId44" w:history="1">
        <w:r w:rsidRPr="00F10029">
          <w:rPr>
            <w:rStyle w:val="Hyperlink"/>
            <w:rFonts w:ascii="Times New Roman" w:hAnsi="Times New Roman" w:cs="Times New Roman"/>
            <w:spacing w:val="-2"/>
            <w:sz w:val="24"/>
            <w:szCs w:val="24"/>
            <w:u w:val="none"/>
          </w:rPr>
          <w:t>https://doi.org/10.1016/j.jbef.2018.11.002</w:t>
        </w:r>
      </w:hyperlink>
    </w:p>
    <w:p w14:paraId="0803B7BE" w14:textId="7777777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Simorangkir, E. (2020). Entah Apa yang Merasukinya, IHSG Nyungsep 6,5%.</w:t>
      </w:r>
    </w:p>
    <w:p w14:paraId="11ACB969" w14:textId="7777777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Situs Satuan Tugas Penanganan COVID-19. (2020). Peta Sebaran.</w:t>
      </w:r>
    </w:p>
    <w:p w14:paraId="2A51AC44" w14:textId="7777777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Szmigiera, M. (2021). Impact of the coronavirus pandemic on the global economy - Statistics &amp; Facts.</w:t>
      </w:r>
    </w:p>
    <w:p w14:paraId="1A4A6C3F" w14:textId="7777777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Tandelilin, E. (2010). Portofolio dan Investasi: Teori dan aplikasi. Kanisius.</w:t>
      </w:r>
    </w:p>
    <w:p w14:paraId="34276190" w14:textId="22CFA540"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Thampanya, N., Wu, J., Nasir, M. A., &amp; Liu, J. (2020). Fundamental and behavioural determinants of stock return volatility in ASEAN-5 countries. Journal of International Financial Markets, Institutions and Money, 65, 101193. </w:t>
      </w:r>
      <w:hyperlink r:id="rId45" w:history="1">
        <w:r w:rsidRPr="00F10029">
          <w:rPr>
            <w:rStyle w:val="Hyperlink"/>
            <w:rFonts w:ascii="Times New Roman" w:hAnsi="Times New Roman" w:cs="Times New Roman"/>
            <w:spacing w:val="-2"/>
            <w:sz w:val="24"/>
            <w:szCs w:val="24"/>
            <w:u w:val="none"/>
          </w:rPr>
          <w:t>https://doi.org/10.1016/j.intfin.2020.101193</w:t>
        </w:r>
      </w:hyperlink>
    </w:p>
    <w:p w14:paraId="65D69F63" w14:textId="6AD0552E"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lastRenderedPageBreak/>
        <w:t xml:space="preserve">Ulfah, F. U. (2020). Ini Proyeksi Emiten Sektor Barang Konsumsi di Semester II/2020 Artikel ini telah tayang di Bisnis.com dengan judul “Ini Proyeksi Emiten Sektor Barang Konsumsi di Semester II/2020”, Klik selengkapnya di sini: </w:t>
      </w:r>
      <w:hyperlink r:id="rId46" w:history="1">
        <w:r w:rsidRPr="00F10029">
          <w:rPr>
            <w:rStyle w:val="Hyperlink"/>
            <w:rFonts w:ascii="Times New Roman" w:hAnsi="Times New Roman" w:cs="Times New Roman"/>
            <w:spacing w:val="-2"/>
            <w:sz w:val="24"/>
            <w:szCs w:val="24"/>
            <w:u w:val="none"/>
          </w:rPr>
          <w:t>https://market.bisnis.com/read/20200802/189/127.</w:t>
        </w:r>
      </w:hyperlink>
    </w:p>
    <w:p w14:paraId="75AD7D24" w14:textId="307C329B"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Wang, Y.-H., Yang, F.-J., &amp; Chen, L.-J. (2013). An investor’s perspective on infectious diseases and their influence on market behavior. Journal of Business Economics and Management, 14(sup1), S112–S127. </w:t>
      </w:r>
      <w:hyperlink r:id="rId47" w:history="1">
        <w:r w:rsidRPr="00F10029">
          <w:rPr>
            <w:rStyle w:val="Hyperlink"/>
            <w:rFonts w:ascii="Times New Roman" w:hAnsi="Times New Roman" w:cs="Times New Roman"/>
            <w:spacing w:val="-2"/>
            <w:sz w:val="24"/>
            <w:szCs w:val="24"/>
            <w:u w:val="none"/>
          </w:rPr>
          <w:t>https://doi.org/10.3846/16111699.2012.711360</w:t>
        </w:r>
      </w:hyperlink>
    </w:p>
    <w:p w14:paraId="1BA6C8AA" w14:textId="7777777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WHO. (2020). Archived: WHO Timeline - COVID-19.</w:t>
      </w:r>
    </w:p>
    <w:p w14:paraId="686CDB86" w14:textId="7777777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Worldometer. (2021). Coronavirus Worldwide Graphs.</w:t>
      </w:r>
    </w:p>
    <w:p w14:paraId="332EA59B" w14:textId="77777777" w:rsidR="00630E08" w:rsidRPr="00F10029" w:rsidRDefault="00630E08" w:rsidP="00630E08">
      <w:pPr>
        <w:adjustRightInd w:val="0"/>
        <w:spacing w:after="0" w:line="240" w:lineRule="auto"/>
        <w:ind w:left="567" w:hanging="567"/>
        <w:jc w:val="both"/>
        <w:rPr>
          <w:rFonts w:ascii="Times New Roman" w:hAnsi="Times New Roman" w:cs="Times New Roman"/>
          <w:spacing w:val="-2"/>
          <w:sz w:val="24"/>
          <w:szCs w:val="24"/>
        </w:rPr>
      </w:pPr>
      <w:r w:rsidRPr="00F10029">
        <w:rPr>
          <w:rFonts w:ascii="Times New Roman" w:hAnsi="Times New Roman" w:cs="Times New Roman"/>
          <w:spacing w:val="-2"/>
          <w:sz w:val="24"/>
          <w:szCs w:val="24"/>
        </w:rPr>
        <w:t xml:space="preserve"> </w:t>
      </w:r>
    </w:p>
    <w:p w14:paraId="665A6C77" w14:textId="77777777" w:rsidR="00FE1601" w:rsidRPr="00F10029" w:rsidRDefault="00FE1601" w:rsidP="00630E08">
      <w:pPr>
        <w:adjustRightInd w:val="0"/>
        <w:spacing w:after="0" w:line="240" w:lineRule="auto"/>
        <w:ind w:left="480" w:hanging="480"/>
        <w:jc w:val="both"/>
        <w:rPr>
          <w:rFonts w:ascii="Times New Roman" w:hAnsi="Times New Roman" w:cs="Times New Roman"/>
          <w:b/>
          <w:sz w:val="24"/>
          <w:szCs w:val="24"/>
          <w:lang w:val="en-ID"/>
        </w:rPr>
      </w:pPr>
    </w:p>
    <w:sectPr w:rsidR="00FE1601" w:rsidRPr="00F10029" w:rsidSect="00E93FB4">
      <w:headerReference w:type="even" r:id="rId48"/>
      <w:headerReference w:type="default" r:id="rId49"/>
      <w:footerReference w:type="even" r:id="rId50"/>
      <w:footerReference w:type="default" r:id="rId51"/>
      <w:footerReference w:type="first" r:id="rId52"/>
      <w:pgSz w:w="11907" w:h="16839" w:code="9"/>
      <w:pgMar w:top="1134" w:right="1134" w:bottom="1134" w:left="1701" w:header="851" w:footer="851" w:gutter="0"/>
      <w:pgNumType w:start="23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7AB9B" w14:textId="77777777" w:rsidR="00311B16" w:rsidRDefault="00311B16">
      <w:pPr>
        <w:spacing w:after="0" w:line="240" w:lineRule="auto"/>
      </w:pPr>
      <w:r>
        <w:separator/>
      </w:r>
    </w:p>
  </w:endnote>
  <w:endnote w:type="continuationSeparator" w:id="0">
    <w:p w14:paraId="518B1E31" w14:textId="77777777" w:rsidR="00311B16" w:rsidRDefault="00311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charset w:val="01"/>
    <w:family w:val="roman"/>
    <w:pitch w:val="default"/>
  </w:font>
  <w:font w:name="Noto Sans CJK SC Regular">
    <w:charset w:val="80"/>
    <w:family w:val="swiss"/>
    <w:pitch w:val="default"/>
    <w:sig w:usb0="00000000" w:usb1="00000000" w:usb2="00000016" w:usb3="00000000" w:csb0="002E0107" w:csb1="00000000"/>
  </w:font>
  <w:font w:name="FreeSans">
    <w:altName w:val="Cambria"/>
    <w:charset w:val="00"/>
    <w:family w:val="roman"/>
    <w:pitch w:val="default"/>
  </w:font>
  <w:font w:name="Adobe Garamond Pro">
    <w:panose1 w:val="02020502060506020403"/>
    <w:charset w:val="00"/>
    <w:family w:val="roman"/>
    <w:notTrueType/>
    <w:pitch w:val="variable"/>
    <w:sig w:usb0="00000007" w:usb1="00000001" w:usb2="00000000" w:usb3="00000000" w:csb0="00000093" w:csb1="00000000"/>
  </w:font>
  <w:font w:name="Arno Pro">
    <w:altName w:val="Cambria"/>
    <w:panose1 w:val="00000000000000000000"/>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D14A2" w14:textId="77777777" w:rsidR="008F10F8" w:rsidRDefault="008F10F8">
    <w:pPr>
      <w:pStyle w:val="Footer"/>
      <w:rPr>
        <w:rFonts w:ascii="Times New Roman" w:hAnsi="Times New Roman" w:cs="Times New Roman"/>
      </w:rPr>
    </w:pPr>
  </w:p>
  <w:p w14:paraId="43ED4838" w14:textId="016B625E" w:rsidR="008F10F8" w:rsidRDefault="008F10F8">
    <w:pPr>
      <w:pStyle w:val="Footer"/>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3" behindDoc="0" locked="0" layoutInCell="1" allowOverlap="1" wp14:anchorId="3EB50CF5" wp14:editId="42BED9E3">
              <wp:simplePos x="0" y="0"/>
              <wp:positionH relativeFrom="column">
                <wp:posOffset>8890</wp:posOffset>
              </wp:positionH>
              <wp:positionV relativeFrom="paragraph">
                <wp:posOffset>733</wp:posOffset>
              </wp:positionV>
              <wp:extent cx="5760000" cy="0"/>
              <wp:effectExtent l="0" t="0" r="0" b="0"/>
              <wp:wrapNone/>
              <wp:docPr id="4097"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71E8B1DB" id="Straight Connector 16" o:spid="_x0000_s1026" style="position:absolute;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7pt,.05pt" to="45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">
              <o:lock v:ext="edit" shapetype="f"/>
            </v:line>
          </w:pict>
        </mc:Fallback>
      </mc:AlternateContent>
    </w:r>
    <w:r>
      <w:rPr>
        <w:rFonts w:ascii="Times New Roman" w:hAnsi="Times New Roman" w:cs="Times New Roman"/>
      </w:rPr>
      <w:t xml:space="preserve">© 2024, the author(s). Published by </w:t>
    </w:r>
    <w:hyperlink r:id="rId1" w:history="1">
      <w:r>
        <w:rPr>
          <w:rStyle w:val="Hyperlink"/>
          <w:rFonts w:ascii="Times New Roman" w:hAnsi="Times New Roman" w:cs="Times New Roman"/>
          <w:u w:val="none"/>
        </w:rPr>
        <w:t>Unesa</w:t>
      </w:r>
    </w:hyperlink>
    <w:r>
      <w:rPr>
        <w:rFonts w:ascii="Times New Roman" w:hAnsi="Times New Roman" w:cs="Times New Roman"/>
      </w:rPr>
      <w:t xml:space="preserve">. This is an open access article under the </w:t>
    </w:r>
    <w:hyperlink r:id="rId2" w:history="1">
      <w:r>
        <w:rPr>
          <w:rStyle w:val="Hyperlink"/>
          <w:rFonts w:ascii="Times New Roman" w:hAnsi="Times New Roman" w:cs="Times New Roman"/>
          <w:u w:val="none"/>
        </w:rPr>
        <w:t>CC BY 4.0 license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B92B1" w14:textId="77777777" w:rsidR="008F10F8" w:rsidRDefault="008F10F8">
    <w:pPr>
      <w:pStyle w:val="Footer"/>
      <w:jc w:val="right"/>
      <w:rPr>
        <w:rFonts w:ascii="Times New Roman" w:hAnsi="Times New Roman"/>
      </w:rPr>
    </w:pPr>
  </w:p>
  <w:p w14:paraId="43876A71" w14:textId="7284CA18" w:rsidR="008F10F8" w:rsidRDefault="008F10F8">
    <w:pPr>
      <w:pStyle w:val="Footer"/>
      <w:jc w:val="right"/>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4" behindDoc="0" locked="0" layoutInCell="1" allowOverlap="1" wp14:anchorId="2EB9ACDD" wp14:editId="24295422">
              <wp:simplePos x="0" y="0"/>
              <wp:positionH relativeFrom="column">
                <wp:posOffset>8890</wp:posOffset>
              </wp:positionH>
              <wp:positionV relativeFrom="paragraph">
                <wp:posOffset>733</wp:posOffset>
              </wp:positionV>
              <wp:extent cx="5760000" cy="0"/>
              <wp:effectExtent l="0" t="0" r="0" b="0"/>
              <wp:wrapNone/>
              <wp:docPr id="4098"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43CB35EB" id="Straight Connector 17" o:spid="_x0000_s1026" style="position:absolute;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7pt,.05pt" to="45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">
              <o:lock v:ext="edit" shapetype="f"/>
            </v:line>
          </w:pict>
        </mc:Fallback>
      </mc:AlternateContent>
    </w:r>
    <w:r>
      <w:rPr>
        <w:rFonts w:ascii="Times New Roman" w:hAnsi="Times New Roman" w:cs="Times New Roman"/>
      </w:rPr>
      <w:t xml:space="preserve">© 2024, the author(s). Published by </w:t>
    </w:r>
    <w:hyperlink r:id="rId1" w:history="1">
      <w:r>
        <w:rPr>
          <w:rStyle w:val="Hyperlink"/>
          <w:rFonts w:ascii="Times New Roman" w:hAnsi="Times New Roman" w:cs="Times New Roman"/>
          <w:u w:val="none"/>
        </w:rPr>
        <w:t>Unesa</w:t>
      </w:r>
    </w:hyperlink>
    <w:r>
      <w:rPr>
        <w:rFonts w:ascii="Times New Roman" w:hAnsi="Times New Roman" w:cs="Times New Roman"/>
      </w:rPr>
      <w:t xml:space="preserve">. This is an open access article under the </w:t>
    </w:r>
    <w:hyperlink r:id="rId2" w:history="1">
      <w:r>
        <w:rPr>
          <w:rStyle w:val="Hyperlink"/>
          <w:rFonts w:ascii="Times New Roman" w:hAnsi="Times New Roman" w:cs="Times New Roman"/>
          <w:u w:val="none"/>
        </w:rPr>
        <w:t>CC BY 4.0 license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0EAEA" w14:textId="77777777" w:rsidR="008F10F8" w:rsidRDefault="008F10F8">
    <w:pPr>
      <w:pStyle w:val="Footer"/>
      <w:jc w:val="right"/>
      <w:rPr>
        <w:rFonts w:ascii="Times New Roman" w:hAnsi="Times New Roman" w:cs="Times New Roman"/>
      </w:rPr>
    </w:pPr>
  </w:p>
  <w:p w14:paraId="13B0F864" w14:textId="6746A0BF" w:rsidR="008F10F8" w:rsidRDefault="008F10F8">
    <w:pPr>
      <w:pStyle w:val="Footer"/>
      <w:jc w:val="right"/>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 behindDoc="0" locked="0" layoutInCell="1" allowOverlap="1" wp14:anchorId="608D5884" wp14:editId="2989BAB0">
              <wp:simplePos x="0" y="0"/>
              <wp:positionH relativeFrom="column">
                <wp:posOffset>8890</wp:posOffset>
              </wp:positionH>
              <wp:positionV relativeFrom="paragraph">
                <wp:posOffset>733</wp:posOffset>
              </wp:positionV>
              <wp:extent cx="5760000" cy="0"/>
              <wp:effectExtent l="0" t="0" r="0" b="0"/>
              <wp:wrapNone/>
              <wp:docPr id="409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08879B28" id="Straight Connector 12"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7pt,.05pt" to="45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">
              <o:lock v:ext="edit" shapetype="f"/>
            </v:line>
          </w:pict>
        </mc:Fallback>
      </mc:AlternateContent>
    </w:r>
    <w:r>
      <w:rPr>
        <w:rFonts w:ascii="Times New Roman" w:hAnsi="Times New Roman" w:cs="Times New Roman"/>
      </w:rPr>
      <w:t xml:space="preserve">© 2024, the author(s). Published by </w:t>
    </w:r>
    <w:hyperlink r:id="rId1" w:history="1">
      <w:r>
        <w:rPr>
          <w:rStyle w:val="Hyperlink"/>
          <w:rFonts w:ascii="Times New Roman" w:hAnsi="Times New Roman" w:cs="Times New Roman"/>
          <w:u w:val="none"/>
        </w:rPr>
        <w:t>Unesa</w:t>
      </w:r>
    </w:hyperlink>
    <w:r>
      <w:rPr>
        <w:rFonts w:ascii="Times New Roman" w:hAnsi="Times New Roman" w:cs="Times New Roman"/>
      </w:rPr>
      <w:t xml:space="preserve">. This is an open access article under the </w:t>
    </w:r>
    <w:hyperlink r:id="rId2" w:history="1">
      <w:r>
        <w:rPr>
          <w:rStyle w:val="Hyperlink"/>
          <w:rFonts w:ascii="Times New Roman" w:hAnsi="Times New Roman" w:cs="Times New Roman"/>
          <w:u w:val="none"/>
        </w:rPr>
        <w:t>CC BY 4.0 license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000CF" w14:textId="77777777" w:rsidR="00311B16" w:rsidRDefault="00311B16">
      <w:pPr>
        <w:spacing w:after="0" w:line="240" w:lineRule="auto"/>
      </w:pPr>
      <w:r>
        <w:separator/>
      </w:r>
    </w:p>
  </w:footnote>
  <w:footnote w:type="continuationSeparator" w:id="0">
    <w:p w14:paraId="0CC40FDB" w14:textId="77777777" w:rsidR="00311B16" w:rsidRDefault="00311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81" w:type="pct"/>
      <w:tblInd w:w="-5" w:type="dxa"/>
      <w:tblBorders>
        <w:bottom w:val="single" w:sz="8" w:space="0" w:color="auto"/>
      </w:tblBorders>
      <w:tblLook w:val="04A0" w:firstRow="1" w:lastRow="0" w:firstColumn="1" w:lastColumn="0" w:noHBand="0" w:noVBand="1"/>
    </w:tblPr>
    <w:tblGrid>
      <w:gridCol w:w="572"/>
      <w:gridCol w:w="3686"/>
      <w:gridCol w:w="4961"/>
    </w:tblGrid>
    <w:tr w:rsidR="008F10F8" w:rsidRPr="00630D41" w14:paraId="720AAE96" w14:textId="77777777">
      <w:trPr>
        <w:trHeight w:val="80"/>
      </w:trPr>
      <w:tc>
        <w:tcPr>
          <w:tcW w:w="572" w:type="dxa"/>
        </w:tcPr>
        <w:p w14:paraId="150629D2" w14:textId="1E4CDB6B" w:rsidR="008F10F8" w:rsidRDefault="008F10F8">
          <w:pPr>
            <w:pStyle w:val="Header"/>
            <w:rPr>
              <w:rFonts w:ascii="Times New Roman" w:hAnsi="Times New Roman"/>
              <w:b/>
              <w:bCs/>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23F24">
            <w:rPr>
              <w:rFonts w:ascii="Times New Roman" w:hAnsi="Times New Roman"/>
              <w:noProof/>
            </w:rPr>
            <w:t>12</w:t>
          </w:r>
          <w:r>
            <w:rPr>
              <w:rFonts w:ascii="Times New Roman" w:hAnsi="Times New Roman"/>
              <w:noProof/>
            </w:rPr>
            <w:fldChar w:fldCharType="end"/>
          </w:r>
        </w:p>
      </w:tc>
      <w:tc>
        <w:tcPr>
          <w:tcW w:w="3686" w:type="dxa"/>
          <w:noWrap/>
        </w:tcPr>
        <w:p w14:paraId="287F1BB5" w14:textId="77777777" w:rsidR="008F10F8" w:rsidRDefault="008F10F8">
          <w:pPr>
            <w:pStyle w:val="Header"/>
            <w:rPr>
              <w:rFonts w:ascii="Times New Roman" w:hAnsi="Times New Roman"/>
            </w:rPr>
          </w:pPr>
          <w:r>
            <w:rPr>
              <w:rFonts w:ascii="Times New Roman" w:hAnsi="Times New Roman"/>
            </w:rPr>
            <w:t>al-Uqud: Journal of Islamic Economics</w:t>
          </w:r>
        </w:p>
        <w:p w14:paraId="2F56ADFF" w14:textId="423FF2F1" w:rsidR="008F10F8" w:rsidRDefault="008F10F8">
          <w:pPr>
            <w:pStyle w:val="Header"/>
            <w:rPr>
              <w:rFonts w:ascii="Times New Roman" w:hAnsi="Times New Roman"/>
            </w:rPr>
          </w:pPr>
          <w:r>
            <w:rPr>
              <w:rFonts w:ascii="Times New Roman" w:hAnsi="Times New Roman"/>
            </w:rPr>
            <w:t>Volume 08 Issue 0</w:t>
          </w:r>
          <w:r w:rsidR="00BB355C">
            <w:rPr>
              <w:rFonts w:ascii="Times New Roman" w:hAnsi="Times New Roman"/>
            </w:rPr>
            <w:t>2</w:t>
          </w:r>
          <w:r>
            <w:rPr>
              <w:rFonts w:ascii="Times New Roman" w:hAnsi="Times New Roman"/>
            </w:rPr>
            <w:t>, J</w:t>
          </w:r>
          <w:r w:rsidR="00BB355C">
            <w:rPr>
              <w:rFonts w:ascii="Times New Roman" w:hAnsi="Times New Roman"/>
            </w:rPr>
            <w:t>uly</w:t>
          </w:r>
          <w:r>
            <w:rPr>
              <w:rFonts w:ascii="Times New Roman" w:hAnsi="Times New Roman"/>
            </w:rPr>
            <w:t xml:space="preserve"> 2024</w:t>
          </w:r>
        </w:p>
      </w:tc>
      <w:tc>
        <w:tcPr>
          <w:tcW w:w="4961" w:type="dxa"/>
        </w:tcPr>
        <w:p w14:paraId="2B5DCECE" w14:textId="77777777" w:rsidR="008F10F8" w:rsidRPr="003F10E1" w:rsidRDefault="008F10F8">
          <w:pPr>
            <w:pStyle w:val="Header"/>
            <w:rPr>
              <w:rFonts w:ascii="Times New Roman" w:hAnsi="Times New Roman"/>
            </w:rPr>
          </w:pPr>
          <w:r w:rsidRPr="003F10E1">
            <w:rPr>
              <w:rFonts w:ascii="Times New Roman" w:hAnsi="Times New Roman"/>
            </w:rPr>
            <w:t>ISSN: 2548-3544 (online), 2549-0850 (print)</w:t>
          </w:r>
        </w:p>
        <w:p w14:paraId="48D36D08" w14:textId="3979DDE1" w:rsidR="008F10F8" w:rsidRPr="003F10E1" w:rsidRDefault="008F10F8">
          <w:pPr>
            <w:spacing w:after="0"/>
            <w:rPr>
              <w:rFonts w:ascii="Times New Roman" w:hAnsi="Times New Roman" w:cs="Times New Roman"/>
              <w:shd w:val="clear" w:color="auto" w:fill="FFFFFF"/>
            </w:rPr>
          </w:pPr>
          <w:r w:rsidRPr="003F10E1">
            <w:rPr>
              <w:rFonts w:ascii="Times New Roman" w:hAnsi="Times New Roman" w:cs="Times New Roman"/>
            </w:rPr>
            <w:t>DOI:</w:t>
          </w:r>
          <w:hyperlink r:id="rId1" w:history="1">
            <w:r w:rsidR="003F10E1" w:rsidRPr="003F10E1">
              <w:rPr>
                <w:rStyle w:val="Hyperlink"/>
                <w:rFonts w:ascii="Times New Roman" w:hAnsi="Times New Roman" w:cs="Times New Roman"/>
                <w:u w:val="none"/>
                <w:shd w:val="clear" w:color="auto" w:fill="FFFFFF"/>
              </w:rPr>
              <w:t>https://doi.org/10.26740/al-uqud.v8n2.p239-254</w:t>
            </w:r>
          </w:hyperlink>
        </w:p>
      </w:tc>
    </w:tr>
  </w:tbl>
  <w:p w14:paraId="1ED892CD" w14:textId="77777777" w:rsidR="008F10F8" w:rsidRDefault="008F10F8">
    <w:pPr>
      <w:pStyle w:val="Header"/>
      <w:tabs>
        <w:tab w:val="clear" w:pos="4680"/>
        <w:tab w:val="clear" w:pos="93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87" w:type="pct"/>
      <w:tblInd w:w="-15" w:type="dxa"/>
      <w:tblBorders>
        <w:bottom w:val="single" w:sz="8" w:space="0" w:color="auto"/>
      </w:tblBorders>
      <w:tblLook w:val="01E0" w:firstRow="1" w:lastRow="1" w:firstColumn="1" w:lastColumn="1" w:noHBand="0" w:noVBand="0"/>
    </w:tblPr>
    <w:tblGrid>
      <w:gridCol w:w="8663"/>
      <w:gridCol w:w="567"/>
    </w:tblGrid>
    <w:tr w:rsidR="008F10F8" w14:paraId="48EA419B" w14:textId="77777777" w:rsidTr="00BB355C">
      <w:trPr>
        <w:trHeight w:val="284"/>
      </w:trPr>
      <w:tc>
        <w:tcPr>
          <w:tcW w:w="4693" w:type="pct"/>
        </w:tcPr>
        <w:p w14:paraId="7779A841" w14:textId="074168FB" w:rsidR="008F10F8" w:rsidRPr="00BB355C" w:rsidRDefault="00603EBA" w:rsidP="00603EBA">
          <w:pPr>
            <w:pStyle w:val="TableParagraph"/>
            <w:ind w:left="35"/>
            <w:jc w:val="both"/>
            <w:rPr>
              <w:bCs/>
              <w:lang w:val="en-GB"/>
            </w:rPr>
          </w:pPr>
          <w:r w:rsidRPr="00603EBA">
            <w:rPr>
              <w:bCs/>
              <w:lang w:val="en-GB"/>
            </w:rPr>
            <w:t>Puji Sucia Sukmaningrum, Nuradli Ridzwan Shah Bin Mohd Dali, Muhammad Madyan, Nisful Laila, Tika Widiastuti</w:t>
          </w:r>
          <w:r>
            <w:rPr>
              <w:bCs/>
              <w:lang w:val="en-GB"/>
            </w:rPr>
            <w:t xml:space="preserve">: </w:t>
          </w:r>
          <w:r w:rsidRPr="00603EBA">
            <w:rPr>
              <w:bCs/>
              <w:lang w:val="en-GB"/>
            </w:rPr>
            <w:t>Resilient finance: Navigating COVID-19 in the Indonesian capital market through an Islamic economic perspective</w:t>
          </w:r>
        </w:p>
      </w:tc>
      <w:tc>
        <w:tcPr>
          <w:tcW w:w="307" w:type="pct"/>
        </w:tcPr>
        <w:p w14:paraId="1138BE53" w14:textId="2A5BCEC0" w:rsidR="008F10F8" w:rsidRDefault="008F10F8">
          <w:pPr>
            <w:pStyle w:val="Header"/>
            <w:jc w:val="center"/>
            <w:rPr>
              <w:rFonts w:ascii="Times New Roman" w:hAnsi="Times New Roman"/>
              <w:bCs/>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23F24">
            <w:rPr>
              <w:rFonts w:ascii="Times New Roman" w:hAnsi="Times New Roman"/>
              <w:noProof/>
            </w:rPr>
            <w:t>13</w:t>
          </w:r>
          <w:r>
            <w:rPr>
              <w:rFonts w:ascii="Times New Roman" w:hAnsi="Times New Roman"/>
              <w:noProof/>
            </w:rPr>
            <w:fldChar w:fldCharType="end"/>
          </w:r>
        </w:p>
      </w:tc>
    </w:tr>
  </w:tbl>
  <w:p w14:paraId="5DE3ADC6" w14:textId="77777777" w:rsidR="008F10F8" w:rsidRDefault="008F10F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BBC28E96"/>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15:restartNumberingAfterBreak="0">
    <w:nsid w:val="00000002"/>
    <w:multiLevelType w:val="hybridMultilevel"/>
    <w:tmpl w:val="C272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BBC28E96"/>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15:restartNumberingAfterBreak="0">
    <w:nsid w:val="00000004"/>
    <w:multiLevelType w:val="hybridMultilevel"/>
    <w:tmpl w:val="BBC28E96"/>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15:restartNumberingAfterBreak="0">
    <w:nsid w:val="00000005"/>
    <w:multiLevelType w:val="hybridMultilevel"/>
    <w:tmpl w:val="BBC28E96"/>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15:restartNumberingAfterBreak="0">
    <w:nsid w:val="00000006"/>
    <w:multiLevelType w:val="hybridMultilevel"/>
    <w:tmpl w:val="BBC28E96"/>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15:restartNumberingAfterBreak="0">
    <w:nsid w:val="00000007"/>
    <w:multiLevelType w:val="hybridMultilevel"/>
    <w:tmpl w:val="BBC28E96"/>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15:restartNumberingAfterBreak="0">
    <w:nsid w:val="00000008"/>
    <w:multiLevelType w:val="hybridMultilevel"/>
    <w:tmpl w:val="BBC28E96"/>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15:restartNumberingAfterBreak="0">
    <w:nsid w:val="0023605D"/>
    <w:multiLevelType w:val="hybridMultilevel"/>
    <w:tmpl w:val="CA5E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4E51DB"/>
    <w:multiLevelType w:val="hybridMultilevel"/>
    <w:tmpl w:val="3CD879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341722E"/>
    <w:multiLevelType w:val="hybridMultilevel"/>
    <w:tmpl w:val="59964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13CA3"/>
    <w:multiLevelType w:val="hybridMultilevel"/>
    <w:tmpl w:val="DC88D0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CB7D74"/>
    <w:multiLevelType w:val="hybridMultilevel"/>
    <w:tmpl w:val="3FEEE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EB673F"/>
    <w:multiLevelType w:val="hybridMultilevel"/>
    <w:tmpl w:val="C542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571343"/>
    <w:multiLevelType w:val="hybridMultilevel"/>
    <w:tmpl w:val="E198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87515F"/>
    <w:multiLevelType w:val="hybridMultilevel"/>
    <w:tmpl w:val="0C80E5AE"/>
    <w:lvl w:ilvl="0" w:tplc="C2B66C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F76BFB"/>
    <w:multiLevelType w:val="hybridMultilevel"/>
    <w:tmpl w:val="FC88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B1617D"/>
    <w:multiLevelType w:val="hybridMultilevel"/>
    <w:tmpl w:val="39F25870"/>
    <w:lvl w:ilvl="0" w:tplc="D25CB9F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15:restartNumberingAfterBreak="0">
    <w:nsid w:val="12527CBB"/>
    <w:multiLevelType w:val="hybridMultilevel"/>
    <w:tmpl w:val="C200FD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8E6897"/>
    <w:multiLevelType w:val="hybridMultilevel"/>
    <w:tmpl w:val="BBC28E96"/>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0" w15:restartNumberingAfterBreak="0">
    <w:nsid w:val="145411CD"/>
    <w:multiLevelType w:val="hybridMultilevel"/>
    <w:tmpl w:val="AE2673E4"/>
    <w:lvl w:ilvl="0" w:tplc="A45CEE9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15:restartNumberingAfterBreak="0">
    <w:nsid w:val="15411A05"/>
    <w:multiLevelType w:val="multilevel"/>
    <w:tmpl w:val="C8DAD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1E2A43"/>
    <w:multiLevelType w:val="hybridMultilevel"/>
    <w:tmpl w:val="1BA63608"/>
    <w:lvl w:ilvl="0" w:tplc="410E389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3" w15:restartNumberingAfterBreak="0">
    <w:nsid w:val="18470793"/>
    <w:multiLevelType w:val="hybridMultilevel"/>
    <w:tmpl w:val="3B64C01C"/>
    <w:lvl w:ilvl="0" w:tplc="7966CC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19405A35"/>
    <w:multiLevelType w:val="multilevel"/>
    <w:tmpl w:val="19405A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A020343"/>
    <w:multiLevelType w:val="hybridMultilevel"/>
    <w:tmpl w:val="F4D0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15:restartNumberingAfterBreak="0">
    <w:nsid w:val="1C437EA1"/>
    <w:multiLevelType w:val="hybridMultilevel"/>
    <w:tmpl w:val="65EEC2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922693"/>
    <w:multiLevelType w:val="hybridMultilevel"/>
    <w:tmpl w:val="132AB7D2"/>
    <w:lvl w:ilvl="0" w:tplc="04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9" w15:restartNumberingAfterBreak="0">
    <w:nsid w:val="21AE37B7"/>
    <w:multiLevelType w:val="hybridMultilevel"/>
    <w:tmpl w:val="911A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DD6199"/>
    <w:multiLevelType w:val="multilevel"/>
    <w:tmpl w:val="D7161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6D7796"/>
    <w:multiLevelType w:val="hybridMultilevel"/>
    <w:tmpl w:val="638E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CA2471"/>
    <w:multiLevelType w:val="hybridMultilevel"/>
    <w:tmpl w:val="F10E5B2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24F46ECD"/>
    <w:multiLevelType w:val="hybridMultilevel"/>
    <w:tmpl w:val="D5B8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474E41"/>
    <w:multiLevelType w:val="hybridMultilevel"/>
    <w:tmpl w:val="F3BC3AD6"/>
    <w:lvl w:ilvl="0" w:tplc="1C8C8B0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5" w15:restartNumberingAfterBreak="0">
    <w:nsid w:val="29456495"/>
    <w:multiLevelType w:val="hybridMultilevel"/>
    <w:tmpl w:val="D4DEEDFA"/>
    <w:lvl w:ilvl="0" w:tplc="6F0EFDB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15:restartNumberingAfterBreak="0">
    <w:nsid w:val="31DE3EC4"/>
    <w:multiLevelType w:val="hybridMultilevel"/>
    <w:tmpl w:val="B534259C"/>
    <w:lvl w:ilvl="0" w:tplc="6AE2E9B0">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7" w15:restartNumberingAfterBreak="0">
    <w:nsid w:val="31E856F5"/>
    <w:multiLevelType w:val="multilevel"/>
    <w:tmpl w:val="1A92B2EE"/>
    <w:lvl w:ilvl="0">
      <w:start w:val="1"/>
      <w:numFmt w:val="decimal"/>
      <w:lvlText w:val="%1."/>
      <w:lvlJc w:val="left"/>
      <w:pPr>
        <w:ind w:left="2214" w:hanging="360"/>
      </w:pPr>
      <w:rPr>
        <w:rFonts w:hint="default"/>
      </w:rPr>
    </w:lvl>
    <w:lvl w:ilvl="1">
      <w:start w:val="1"/>
      <w:numFmt w:val="decimal"/>
      <w:isLgl/>
      <w:lvlText w:val="%1.%2"/>
      <w:lvlJc w:val="left"/>
      <w:pPr>
        <w:ind w:left="2214"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2934" w:hanging="1080"/>
      </w:pPr>
      <w:rPr>
        <w:rFonts w:hint="default"/>
      </w:rPr>
    </w:lvl>
    <w:lvl w:ilvl="5">
      <w:start w:val="1"/>
      <w:numFmt w:val="decimal"/>
      <w:isLgl/>
      <w:lvlText w:val="%1.%2.%3.%4.%5.%6"/>
      <w:lvlJc w:val="left"/>
      <w:pPr>
        <w:ind w:left="2934"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294" w:hanging="1440"/>
      </w:pPr>
      <w:rPr>
        <w:rFonts w:hint="default"/>
      </w:rPr>
    </w:lvl>
    <w:lvl w:ilvl="8">
      <w:start w:val="1"/>
      <w:numFmt w:val="decimal"/>
      <w:isLgl/>
      <w:lvlText w:val="%1.%2.%3.%4.%5.%6.%7.%8.%9"/>
      <w:lvlJc w:val="left"/>
      <w:pPr>
        <w:ind w:left="3654" w:hanging="1800"/>
      </w:pPr>
      <w:rPr>
        <w:rFonts w:hint="default"/>
      </w:rPr>
    </w:lvl>
  </w:abstractNum>
  <w:abstractNum w:abstractNumId="38" w15:restartNumberingAfterBreak="0">
    <w:nsid w:val="338F32F0"/>
    <w:multiLevelType w:val="hybridMultilevel"/>
    <w:tmpl w:val="A282FD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412439"/>
    <w:multiLevelType w:val="hybridMultilevel"/>
    <w:tmpl w:val="2D04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F22C5C"/>
    <w:multiLevelType w:val="multilevel"/>
    <w:tmpl w:val="EC68D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7A03DC1"/>
    <w:multiLevelType w:val="hybridMultilevel"/>
    <w:tmpl w:val="C8C0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296270"/>
    <w:multiLevelType w:val="hybridMultilevel"/>
    <w:tmpl w:val="DC90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DD285D"/>
    <w:multiLevelType w:val="hybridMultilevel"/>
    <w:tmpl w:val="F7C270FE"/>
    <w:lvl w:ilvl="0" w:tplc="E2E4EA7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4" w15:restartNumberingAfterBreak="0">
    <w:nsid w:val="44360CAB"/>
    <w:multiLevelType w:val="multilevel"/>
    <w:tmpl w:val="6BAE5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99B755F"/>
    <w:multiLevelType w:val="hybridMultilevel"/>
    <w:tmpl w:val="5498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CE358E"/>
    <w:multiLevelType w:val="hybridMultilevel"/>
    <w:tmpl w:val="9BDCAF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BE6D25"/>
    <w:multiLevelType w:val="multilevel"/>
    <w:tmpl w:val="F8600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D672ED2"/>
    <w:multiLevelType w:val="multilevel"/>
    <w:tmpl w:val="4D672ED2"/>
    <w:lvl w:ilvl="0">
      <w:start w:val="1"/>
      <w:numFmt w:val="decimal"/>
      <w:lvlText w:val="%1."/>
      <w:lvlJc w:val="left"/>
      <w:pPr>
        <w:ind w:left="3621"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15:restartNumberingAfterBreak="0">
    <w:nsid w:val="4EB410C7"/>
    <w:multiLevelType w:val="hybridMultilevel"/>
    <w:tmpl w:val="DA22F552"/>
    <w:lvl w:ilvl="0" w:tplc="121E69B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D566BC"/>
    <w:multiLevelType w:val="hybridMultilevel"/>
    <w:tmpl w:val="4B9E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FA31AC"/>
    <w:multiLevelType w:val="multilevel"/>
    <w:tmpl w:val="9F483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694A81"/>
    <w:multiLevelType w:val="multilevel"/>
    <w:tmpl w:val="742876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CDA62D4"/>
    <w:multiLevelType w:val="hybridMultilevel"/>
    <w:tmpl w:val="B4B2B2A8"/>
    <w:lvl w:ilvl="0" w:tplc="F2B241D4">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4" w15:restartNumberingAfterBreak="0">
    <w:nsid w:val="611F3991"/>
    <w:multiLevelType w:val="hybridMultilevel"/>
    <w:tmpl w:val="3088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205A9A"/>
    <w:multiLevelType w:val="hybridMultilevel"/>
    <w:tmpl w:val="F280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665311"/>
    <w:multiLevelType w:val="multilevel"/>
    <w:tmpl w:val="D878F1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1464C3B"/>
    <w:multiLevelType w:val="hybridMultilevel"/>
    <w:tmpl w:val="9EEC6168"/>
    <w:lvl w:ilvl="0" w:tplc="A2FAD31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8"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79504341"/>
    <w:multiLevelType w:val="hybridMultilevel"/>
    <w:tmpl w:val="8DF691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A90452"/>
    <w:multiLevelType w:val="hybridMultilevel"/>
    <w:tmpl w:val="3FEEE6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B81492A"/>
    <w:multiLevelType w:val="hybridMultilevel"/>
    <w:tmpl w:val="D2C8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87484A"/>
    <w:multiLevelType w:val="hybridMultilevel"/>
    <w:tmpl w:val="7F1A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119203">
    <w:abstractNumId w:val="0"/>
  </w:num>
  <w:num w:numId="2" w16cid:durableId="2063478957">
    <w:abstractNumId w:val="7"/>
  </w:num>
  <w:num w:numId="3" w16cid:durableId="244610204">
    <w:abstractNumId w:val="4"/>
  </w:num>
  <w:num w:numId="4" w16cid:durableId="1298873488">
    <w:abstractNumId w:val="2"/>
  </w:num>
  <w:num w:numId="5" w16cid:durableId="1847093938">
    <w:abstractNumId w:val="3"/>
  </w:num>
  <w:num w:numId="6" w16cid:durableId="1036658559">
    <w:abstractNumId w:val="6"/>
  </w:num>
  <w:num w:numId="7" w16cid:durableId="456341281">
    <w:abstractNumId w:val="5"/>
  </w:num>
  <w:num w:numId="8" w16cid:durableId="2066685058">
    <w:abstractNumId w:val="19"/>
  </w:num>
  <w:num w:numId="9" w16cid:durableId="479812505">
    <w:abstractNumId w:val="1"/>
  </w:num>
  <w:num w:numId="10" w16cid:durableId="196919258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7241107">
    <w:abstractNumId w:val="48"/>
  </w:num>
  <w:num w:numId="12" w16cid:durableId="1521973117">
    <w:abstractNumId w:val="24"/>
  </w:num>
  <w:num w:numId="13" w16cid:durableId="1114135642">
    <w:abstractNumId w:val="11"/>
  </w:num>
  <w:num w:numId="14" w16cid:durableId="368844437">
    <w:abstractNumId w:val="15"/>
  </w:num>
  <w:num w:numId="15" w16cid:durableId="400445414">
    <w:abstractNumId w:val="18"/>
  </w:num>
  <w:num w:numId="16" w16cid:durableId="1235506890">
    <w:abstractNumId w:val="38"/>
  </w:num>
  <w:num w:numId="17" w16cid:durableId="1996952984">
    <w:abstractNumId w:val="59"/>
  </w:num>
  <w:num w:numId="18" w16cid:durableId="998463677">
    <w:abstractNumId w:val="12"/>
  </w:num>
  <w:num w:numId="19" w16cid:durableId="329605337">
    <w:abstractNumId w:val="27"/>
  </w:num>
  <w:num w:numId="20" w16cid:durableId="2051760879">
    <w:abstractNumId w:val="46"/>
  </w:num>
  <w:num w:numId="21" w16cid:durableId="1931348661">
    <w:abstractNumId w:val="60"/>
  </w:num>
  <w:num w:numId="22" w16cid:durableId="1906917847">
    <w:abstractNumId w:val="28"/>
  </w:num>
  <w:num w:numId="23" w16cid:durableId="1189216410">
    <w:abstractNumId w:val="36"/>
  </w:num>
  <w:num w:numId="24" w16cid:durableId="175584540">
    <w:abstractNumId w:val="51"/>
  </w:num>
  <w:num w:numId="25" w16cid:durableId="1327050058">
    <w:abstractNumId w:val="40"/>
  </w:num>
  <w:num w:numId="26" w16cid:durableId="713768744">
    <w:abstractNumId w:val="44"/>
  </w:num>
  <w:num w:numId="27" w16cid:durableId="421032170">
    <w:abstractNumId w:val="30"/>
  </w:num>
  <w:num w:numId="28" w16cid:durableId="1497187717">
    <w:abstractNumId w:val="47"/>
  </w:num>
  <w:num w:numId="29" w16cid:durableId="606348020">
    <w:abstractNumId w:val="21"/>
  </w:num>
  <w:num w:numId="30" w16cid:durableId="179318054">
    <w:abstractNumId w:val="32"/>
  </w:num>
  <w:num w:numId="31" w16cid:durableId="581107996">
    <w:abstractNumId w:val="57"/>
  </w:num>
  <w:num w:numId="32" w16cid:durableId="2140801187">
    <w:abstractNumId w:val="20"/>
  </w:num>
  <w:num w:numId="33" w16cid:durableId="448009887">
    <w:abstractNumId w:val="34"/>
  </w:num>
  <w:num w:numId="34" w16cid:durableId="1783113275">
    <w:abstractNumId w:val="17"/>
  </w:num>
  <w:num w:numId="35" w16cid:durableId="1665401795">
    <w:abstractNumId w:val="43"/>
  </w:num>
  <w:num w:numId="36" w16cid:durableId="756946003">
    <w:abstractNumId w:val="22"/>
  </w:num>
  <w:num w:numId="37" w16cid:durableId="1371346185">
    <w:abstractNumId w:val="23"/>
  </w:num>
  <w:num w:numId="38" w16cid:durableId="857154936">
    <w:abstractNumId w:val="9"/>
  </w:num>
  <w:num w:numId="39" w16cid:durableId="66150110">
    <w:abstractNumId w:val="25"/>
  </w:num>
  <w:num w:numId="40" w16cid:durableId="123500549">
    <w:abstractNumId w:val="13"/>
  </w:num>
  <w:num w:numId="41" w16cid:durableId="1885407330">
    <w:abstractNumId w:val="42"/>
  </w:num>
  <w:num w:numId="42" w16cid:durableId="1058406440">
    <w:abstractNumId w:val="10"/>
  </w:num>
  <w:num w:numId="43" w16cid:durableId="1771315887">
    <w:abstractNumId w:val="14"/>
  </w:num>
  <w:num w:numId="44" w16cid:durableId="2039431455">
    <w:abstractNumId w:val="33"/>
  </w:num>
  <w:num w:numId="45" w16cid:durableId="1423917713">
    <w:abstractNumId w:val="55"/>
  </w:num>
  <w:num w:numId="46" w16cid:durableId="452477212">
    <w:abstractNumId w:val="50"/>
  </w:num>
  <w:num w:numId="47" w16cid:durableId="1577132859">
    <w:abstractNumId w:val="45"/>
  </w:num>
  <w:num w:numId="48" w16cid:durableId="1534348587">
    <w:abstractNumId w:val="29"/>
  </w:num>
  <w:num w:numId="49" w16cid:durableId="1954244083">
    <w:abstractNumId w:val="62"/>
  </w:num>
  <w:num w:numId="50" w16cid:durableId="796293448">
    <w:abstractNumId w:val="39"/>
  </w:num>
  <w:num w:numId="51" w16cid:durableId="191115563">
    <w:abstractNumId w:val="16"/>
  </w:num>
  <w:num w:numId="52" w16cid:durableId="1819027251">
    <w:abstractNumId w:val="8"/>
  </w:num>
  <w:num w:numId="53" w16cid:durableId="152531294">
    <w:abstractNumId w:val="61"/>
  </w:num>
  <w:num w:numId="54" w16cid:durableId="1144274185">
    <w:abstractNumId w:val="54"/>
  </w:num>
  <w:num w:numId="55" w16cid:durableId="876432818">
    <w:abstractNumId w:val="31"/>
  </w:num>
  <w:num w:numId="56" w16cid:durableId="1146313889">
    <w:abstractNumId w:val="41"/>
  </w:num>
  <w:num w:numId="57" w16cid:durableId="220288133">
    <w:abstractNumId w:val="35"/>
  </w:num>
  <w:num w:numId="58" w16cid:durableId="1749228272">
    <w:abstractNumId w:val="53"/>
  </w:num>
  <w:num w:numId="59" w16cid:durableId="1229998077">
    <w:abstractNumId w:val="58"/>
  </w:num>
  <w:num w:numId="60" w16cid:durableId="1397581966">
    <w:abstractNumId w:val="26"/>
  </w:num>
  <w:num w:numId="61" w16cid:durableId="1381052998">
    <w:abstractNumId w:val="56"/>
  </w:num>
  <w:num w:numId="62" w16cid:durableId="1166287043">
    <w:abstractNumId w:val="37"/>
  </w:num>
  <w:num w:numId="63" w16cid:durableId="179263001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0MDSyMDOzMDAwMjBW0lEKTi0uzszPAykwtKwFANdwE+gtAAAA"/>
  </w:docVars>
  <w:rsids>
    <w:rsidRoot w:val="00271F7B"/>
    <w:rsid w:val="00001E59"/>
    <w:rsid w:val="00002C79"/>
    <w:rsid w:val="00003A21"/>
    <w:rsid w:val="0000576F"/>
    <w:rsid w:val="00005C07"/>
    <w:rsid w:val="000078B5"/>
    <w:rsid w:val="000110BD"/>
    <w:rsid w:val="000145D9"/>
    <w:rsid w:val="000158F4"/>
    <w:rsid w:val="000167ED"/>
    <w:rsid w:val="000179FF"/>
    <w:rsid w:val="000216E9"/>
    <w:rsid w:val="00021859"/>
    <w:rsid w:val="0002235F"/>
    <w:rsid w:val="000248E8"/>
    <w:rsid w:val="00027982"/>
    <w:rsid w:val="00030887"/>
    <w:rsid w:val="00030C39"/>
    <w:rsid w:val="00032D97"/>
    <w:rsid w:val="00033F01"/>
    <w:rsid w:val="000341BB"/>
    <w:rsid w:val="00034AEA"/>
    <w:rsid w:val="00035126"/>
    <w:rsid w:val="00040323"/>
    <w:rsid w:val="000418D1"/>
    <w:rsid w:val="000439D7"/>
    <w:rsid w:val="00045808"/>
    <w:rsid w:val="00047282"/>
    <w:rsid w:val="000518F1"/>
    <w:rsid w:val="00053F1F"/>
    <w:rsid w:val="00056D5E"/>
    <w:rsid w:val="00056F1A"/>
    <w:rsid w:val="00057AEC"/>
    <w:rsid w:val="00064FEA"/>
    <w:rsid w:val="00065147"/>
    <w:rsid w:val="0006667E"/>
    <w:rsid w:val="00066B0E"/>
    <w:rsid w:val="0006759A"/>
    <w:rsid w:val="0007174D"/>
    <w:rsid w:val="00072552"/>
    <w:rsid w:val="0007323D"/>
    <w:rsid w:val="00073813"/>
    <w:rsid w:val="00073F63"/>
    <w:rsid w:val="00075FBE"/>
    <w:rsid w:val="00080A27"/>
    <w:rsid w:val="000816F7"/>
    <w:rsid w:val="0008300E"/>
    <w:rsid w:val="00083D3D"/>
    <w:rsid w:val="0008433E"/>
    <w:rsid w:val="00092F75"/>
    <w:rsid w:val="00096D3B"/>
    <w:rsid w:val="00096F8B"/>
    <w:rsid w:val="0009766C"/>
    <w:rsid w:val="000978F3"/>
    <w:rsid w:val="000A1A48"/>
    <w:rsid w:val="000A24C2"/>
    <w:rsid w:val="000A3AEA"/>
    <w:rsid w:val="000A3D16"/>
    <w:rsid w:val="000A46D1"/>
    <w:rsid w:val="000A7D53"/>
    <w:rsid w:val="000B17A0"/>
    <w:rsid w:val="000B2851"/>
    <w:rsid w:val="000B2BEA"/>
    <w:rsid w:val="000B4D36"/>
    <w:rsid w:val="000B5131"/>
    <w:rsid w:val="000B5E9A"/>
    <w:rsid w:val="000B71C2"/>
    <w:rsid w:val="000B74AD"/>
    <w:rsid w:val="000B7C84"/>
    <w:rsid w:val="000C0594"/>
    <w:rsid w:val="000C24FE"/>
    <w:rsid w:val="000C2572"/>
    <w:rsid w:val="000C411E"/>
    <w:rsid w:val="000C72D8"/>
    <w:rsid w:val="000C7466"/>
    <w:rsid w:val="000D1B86"/>
    <w:rsid w:val="000D37D6"/>
    <w:rsid w:val="000D5B5E"/>
    <w:rsid w:val="000E1C53"/>
    <w:rsid w:val="000F067C"/>
    <w:rsid w:val="000F3773"/>
    <w:rsid w:val="000F4C0E"/>
    <w:rsid w:val="000F5676"/>
    <w:rsid w:val="001015FB"/>
    <w:rsid w:val="001033CF"/>
    <w:rsid w:val="001047E8"/>
    <w:rsid w:val="00104CC0"/>
    <w:rsid w:val="001068B4"/>
    <w:rsid w:val="00106CA6"/>
    <w:rsid w:val="001129EF"/>
    <w:rsid w:val="001138E1"/>
    <w:rsid w:val="00113D68"/>
    <w:rsid w:val="001176E4"/>
    <w:rsid w:val="001203DF"/>
    <w:rsid w:val="00122054"/>
    <w:rsid w:val="001244CB"/>
    <w:rsid w:val="0012473A"/>
    <w:rsid w:val="0012557C"/>
    <w:rsid w:val="0013262F"/>
    <w:rsid w:val="0013465A"/>
    <w:rsid w:val="0013467D"/>
    <w:rsid w:val="00134750"/>
    <w:rsid w:val="00136B2B"/>
    <w:rsid w:val="00137D72"/>
    <w:rsid w:val="001420DA"/>
    <w:rsid w:val="001422FD"/>
    <w:rsid w:val="001456BA"/>
    <w:rsid w:val="001459CC"/>
    <w:rsid w:val="001471AB"/>
    <w:rsid w:val="0014738A"/>
    <w:rsid w:val="00150785"/>
    <w:rsid w:val="00150CEE"/>
    <w:rsid w:val="0015261C"/>
    <w:rsid w:val="001536B6"/>
    <w:rsid w:val="001550C8"/>
    <w:rsid w:val="001577DF"/>
    <w:rsid w:val="00157F15"/>
    <w:rsid w:val="001660C8"/>
    <w:rsid w:val="00166386"/>
    <w:rsid w:val="00167E82"/>
    <w:rsid w:val="00171276"/>
    <w:rsid w:val="00176CD0"/>
    <w:rsid w:val="00180845"/>
    <w:rsid w:val="0018395F"/>
    <w:rsid w:val="001853D0"/>
    <w:rsid w:val="00191FCB"/>
    <w:rsid w:val="00192C04"/>
    <w:rsid w:val="00195220"/>
    <w:rsid w:val="0019544B"/>
    <w:rsid w:val="00195653"/>
    <w:rsid w:val="00195780"/>
    <w:rsid w:val="001A07D8"/>
    <w:rsid w:val="001A6269"/>
    <w:rsid w:val="001B00FE"/>
    <w:rsid w:val="001B2851"/>
    <w:rsid w:val="001B3512"/>
    <w:rsid w:val="001B64EB"/>
    <w:rsid w:val="001B7364"/>
    <w:rsid w:val="001C04D2"/>
    <w:rsid w:val="001C0F0F"/>
    <w:rsid w:val="001C39A3"/>
    <w:rsid w:val="001D1422"/>
    <w:rsid w:val="001D47CF"/>
    <w:rsid w:val="001D4C48"/>
    <w:rsid w:val="001E378F"/>
    <w:rsid w:val="001E4B63"/>
    <w:rsid w:val="001F011A"/>
    <w:rsid w:val="001F1009"/>
    <w:rsid w:val="001F33D5"/>
    <w:rsid w:val="001F4E33"/>
    <w:rsid w:val="002019C6"/>
    <w:rsid w:val="00202FC7"/>
    <w:rsid w:val="0020458C"/>
    <w:rsid w:val="00207DEC"/>
    <w:rsid w:val="00207EF7"/>
    <w:rsid w:val="00212CBC"/>
    <w:rsid w:val="00221E60"/>
    <w:rsid w:val="00224D88"/>
    <w:rsid w:val="002267BE"/>
    <w:rsid w:val="00227E3D"/>
    <w:rsid w:val="00230057"/>
    <w:rsid w:val="00235BE3"/>
    <w:rsid w:val="002363CE"/>
    <w:rsid w:val="00241BAD"/>
    <w:rsid w:val="00241F3E"/>
    <w:rsid w:val="00246578"/>
    <w:rsid w:val="00246A54"/>
    <w:rsid w:val="002516A2"/>
    <w:rsid w:val="00252276"/>
    <w:rsid w:val="00253D7A"/>
    <w:rsid w:val="00254A96"/>
    <w:rsid w:val="0025672F"/>
    <w:rsid w:val="00262268"/>
    <w:rsid w:val="002639C9"/>
    <w:rsid w:val="00265555"/>
    <w:rsid w:val="00266100"/>
    <w:rsid w:val="00266C27"/>
    <w:rsid w:val="00270AE9"/>
    <w:rsid w:val="00271F7B"/>
    <w:rsid w:val="00272215"/>
    <w:rsid w:val="0027456B"/>
    <w:rsid w:val="0027660F"/>
    <w:rsid w:val="002768D8"/>
    <w:rsid w:val="00277B9A"/>
    <w:rsid w:val="00280E32"/>
    <w:rsid w:val="00281D4D"/>
    <w:rsid w:val="00281D52"/>
    <w:rsid w:val="00282B84"/>
    <w:rsid w:val="0028335E"/>
    <w:rsid w:val="00283514"/>
    <w:rsid w:val="00283DDA"/>
    <w:rsid w:val="002874AD"/>
    <w:rsid w:val="002933BF"/>
    <w:rsid w:val="00293F10"/>
    <w:rsid w:val="002971BA"/>
    <w:rsid w:val="002A1F9D"/>
    <w:rsid w:val="002A4875"/>
    <w:rsid w:val="002A4BB4"/>
    <w:rsid w:val="002A5577"/>
    <w:rsid w:val="002A593E"/>
    <w:rsid w:val="002A7B00"/>
    <w:rsid w:val="002B0EB0"/>
    <w:rsid w:val="002B2161"/>
    <w:rsid w:val="002B2BE6"/>
    <w:rsid w:val="002B3455"/>
    <w:rsid w:val="002B46C9"/>
    <w:rsid w:val="002B6703"/>
    <w:rsid w:val="002B7324"/>
    <w:rsid w:val="002B753E"/>
    <w:rsid w:val="002C15C6"/>
    <w:rsid w:val="002C3074"/>
    <w:rsid w:val="002C5C00"/>
    <w:rsid w:val="002C7D38"/>
    <w:rsid w:val="002D243E"/>
    <w:rsid w:val="002D60B8"/>
    <w:rsid w:val="002D7228"/>
    <w:rsid w:val="002D7F35"/>
    <w:rsid w:val="002E24E9"/>
    <w:rsid w:val="002E46C2"/>
    <w:rsid w:val="002E5E05"/>
    <w:rsid w:val="002E7FF4"/>
    <w:rsid w:val="002F0878"/>
    <w:rsid w:val="002F25BA"/>
    <w:rsid w:val="002F286E"/>
    <w:rsid w:val="002F63EA"/>
    <w:rsid w:val="002F72CE"/>
    <w:rsid w:val="002F7699"/>
    <w:rsid w:val="00303E74"/>
    <w:rsid w:val="003062B3"/>
    <w:rsid w:val="0031050F"/>
    <w:rsid w:val="003111AF"/>
    <w:rsid w:val="00311B16"/>
    <w:rsid w:val="003160A2"/>
    <w:rsid w:val="00317B7E"/>
    <w:rsid w:val="0032085D"/>
    <w:rsid w:val="00320F98"/>
    <w:rsid w:val="00320FB7"/>
    <w:rsid w:val="00321986"/>
    <w:rsid w:val="00321FAC"/>
    <w:rsid w:val="00325689"/>
    <w:rsid w:val="00326D1F"/>
    <w:rsid w:val="003278F7"/>
    <w:rsid w:val="00334741"/>
    <w:rsid w:val="003357EC"/>
    <w:rsid w:val="00335D68"/>
    <w:rsid w:val="00336E08"/>
    <w:rsid w:val="003370F8"/>
    <w:rsid w:val="0033783B"/>
    <w:rsid w:val="00341AB2"/>
    <w:rsid w:val="00343348"/>
    <w:rsid w:val="0034623C"/>
    <w:rsid w:val="00346778"/>
    <w:rsid w:val="00350010"/>
    <w:rsid w:val="003505E5"/>
    <w:rsid w:val="0035099A"/>
    <w:rsid w:val="00350E74"/>
    <w:rsid w:val="00352E0D"/>
    <w:rsid w:val="00353565"/>
    <w:rsid w:val="0035572C"/>
    <w:rsid w:val="00355D82"/>
    <w:rsid w:val="00355DCF"/>
    <w:rsid w:val="00356CFF"/>
    <w:rsid w:val="0035719F"/>
    <w:rsid w:val="00360E68"/>
    <w:rsid w:val="00361A7A"/>
    <w:rsid w:val="00362B25"/>
    <w:rsid w:val="00362B49"/>
    <w:rsid w:val="003653CF"/>
    <w:rsid w:val="00365603"/>
    <w:rsid w:val="003740E1"/>
    <w:rsid w:val="00380607"/>
    <w:rsid w:val="00380A15"/>
    <w:rsid w:val="00381483"/>
    <w:rsid w:val="0038223A"/>
    <w:rsid w:val="00382F6E"/>
    <w:rsid w:val="0038388F"/>
    <w:rsid w:val="003839F5"/>
    <w:rsid w:val="00383F34"/>
    <w:rsid w:val="00384165"/>
    <w:rsid w:val="00386167"/>
    <w:rsid w:val="003872A5"/>
    <w:rsid w:val="00387D14"/>
    <w:rsid w:val="0039042E"/>
    <w:rsid w:val="003938C0"/>
    <w:rsid w:val="003945BD"/>
    <w:rsid w:val="0039678F"/>
    <w:rsid w:val="00396FF2"/>
    <w:rsid w:val="003A0E6E"/>
    <w:rsid w:val="003A1EAE"/>
    <w:rsid w:val="003A4030"/>
    <w:rsid w:val="003A49E5"/>
    <w:rsid w:val="003A51E6"/>
    <w:rsid w:val="003A588F"/>
    <w:rsid w:val="003B0C64"/>
    <w:rsid w:val="003B4A6D"/>
    <w:rsid w:val="003B7C7D"/>
    <w:rsid w:val="003C2364"/>
    <w:rsid w:val="003C3D50"/>
    <w:rsid w:val="003C5791"/>
    <w:rsid w:val="003C7308"/>
    <w:rsid w:val="003C7712"/>
    <w:rsid w:val="003D28C7"/>
    <w:rsid w:val="003D4697"/>
    <w:rsid w:val="003D631D"/>
    <w:rsid w:val="003D7DF8"/>
    <w:rsid w:val="003E2024"/>
    <w:rsid w:val="003E2B95"/>
    <w:rsid w:val="003E3225"/>
    <w:rsid w:val="003E4A72"/>
    <w:rsid w:val="003E4B57"/>
    <w:rsid w:val="003E6682"/>
    <w:rsid w:val="003E6F1D"/>
    <w:rsid w:val="003F10E1"/>
    <w:rsid w:val="003F19A0"/>
    <w:rsid w:val="003F1FCE"/>
    <w:rsid w:val="003F29AE"/>
    <w:rsid w:val="003F337B"/>
    <w:rsid w:val="003F5408"/>
    <w:rsid w:val="003F68EB"/>
    <w:rsid w:val="0040096B"/>
    <w:rsid w:val="004009E4"/>
    <w:rsid w:val="004045AA"/>
    <w:rsid w:val="004060F3"/>
    <w:rsid w:val="00412F3D"/>
    <w:rsid w:val="00414D98"/>
    <w:rsid w:val="004205D8"/>
    <w:rsid w:val="00420D9F"/>
    <w:rsid w:val="00423F24"/>
    <w:rsid w:val="00424AEF"/>
    <w:rsid w:val="004262C5"/>
    <w:rsid w:val="00430669"/>
    <w:rsid w:val="00431E12"/>
    <w:rsid w:val="0043203C"/>
    <w:rsid w:val="0043264A"/>
    <w:rsid w:val="004326F2"/>
    <w:rsid w:val="00432828"/>
    <w:rsid w:val="0043401B"/>
    <w:rsid w:val="004344F6"/>
    <w:rsid w:val="00437A61"/>
    <w:rsid w:val="004411B4"/>
    <w:rsid w:val="00441EBC"/>
    <w:rsid w:val="0044350B"/>
    <w:rsid w:val="00446DA3"/>
    <w:rsid w:val="00447726"/>
    <w:rsid w:val="004477C9"/>
    <w:rsid w:val="00447A38"/>
    <w:rsid w:val="004507F4"/>
    <w:rsid w:val="00454BC8"/>
    <w:rsid w:val="00454EC7"/>
    <w:rsid w:val="004563FD"/>
    <w:rsid w:val="00456A1D"/>
    <w:rsid w:val="00457C97"/>
    <w:rsid w:val="00461AFA"/>
    <w:rsid w:val="00461DF4"/>
    <w:rsid w:val="004632B1"/>
    <w:rsid w:val="00465481"/>
    <w:rsid w:val="004675BC"/>
    <w:rsid w:val="00467A40"/>
    <w:rsid w:val="00470C32"/>
    <w:rsid w:val="00472A3D"/>
    <w:rsid w:val="00475136"/>
    <w:rsid w:val="00475C9C"/>
    <w:rsid w:val="00476A29"/>
    <w:rsid w:val="00484D15"/>
    <w:rsid w:val="00485F0A"/>
    <w:rsid w:val="00486489"/>
    <w:rsid w:val="0048734D"/>
    <w:rsid w:val="00487585"/>
    <w:rsid w:val="00492988"/>
    <w:rsid w:val="00494A20"/>
    <w:rsid w:val="00495453"/>
    <w:rsid w:val="00497D9F"/>
    <w:rsid w:val="004A0053"/>
    <w:rsid w:val="004B67AB"/>
    <w:rsid w:val="004C30EF"/>
    <w:rsid w:val="004C38D5"/>
    <w:rsid w:val="004C44B6"/>
    <w:rsid w:val="004C47CD"/>
    <w:rsid w:val="004C4947"/>
    <w:rsid w:val="004C50AD"/>
    <w:rsid w:val="004C6C59"/>
    <w:rsid w:val="004C7BD0"/>
    <w:rsid w:val="004D15F6"/>
    <w:rsid w:val="004D3FAA"/>
    <w:rsid w:val="004D3FD3"/>
    <w:rsid w:val="004D5D19"/>
    <w:rsid w:val="004D6D32"/>
    <w:rsid w:val="004E013E"/>
    <w:rsid w:val="004E22F6"/>
    <w:rsid w:val="004E2379"/>
    <w:rsid w:val="004E4CF9"/>
    <w:rsid w:val="004F1E70"/>
    <w:rsid w:val="004F347D"/>
    <w:rsid w:val="004F38A3"/>
    <w:rsid w:val="004F3E26"/>
    <w:rsid w:val="004F7AC4"/>
    <w:rsid w:val="00501138"/>
    <w:rsid w:val="00502B3E"/>
    <w:rsid w:val="00504307"/>
    <w:rsid w:val="005067B4"/>
    <w:rsid w:val="00507741"/>
    <w:rsid w:val="00507819"/>
    <w:rsid w:val="00510434"/>
    <w:rsid w:val="00513067"/>
    <w:rsid w:val="005148EA"/>
    <w:rsid w:val="00514ACC"/>
    <w:rsid w:val="00514EA9"/>
    <w:rsid w:val="0051676C"/>
    <w:rsid w:val="00521218"/>
    <w:rsid w:val="00522244"/>
    <w:rsid w:val="00534E95"/>
    <w:rsid w:val="00535892"/>
    <w:rsid w:val="00536957"/>
    <w:rsid w:val="00540266"/>
    <w:rsid w:val="00540D98"/>
    <w:rsid w:val="00542AAF"/>
    <w:rsid w:val="00542AB6"/>
    <w:rsid w:val="005436F7"/>
    <w:rsid w:val="00550C54"/>
    <w:rsid w:val="0055640D"/>
    <w:rsid w:val="00557E8D"/>
    <w:rsid w:val="00557EA8"/>
    <w:rsid w:val="00560654"/>
    <w:rsid w:val="00560B0C"/>
    <w:rsid w:val="00561118"/>
    <w:rsid w:val="00561538"/>
    <w:rsid w:val="0056287E"/>
    <w:rsid w:val="005631E1"/>
    <w:rsid w:val="005633CD"/>
    <w:rsid w:val="00564759"/>
    <w:rsid w:val="00564EB9"/>
    <w:rsid w:val="005662ED"/>
    <w:rsid w:val="00566664"/>
    <w:rsid w:val="00567A46"/>
    <w:rsid w:val="005701F8"/>
    <w:rsid w:val="0057037C"/>
    <w:rsid w:val="00572188"/>
    <w:rsid w:val="00572ED1"/>
    <w:rsid w:val="005737A8"/>
    <w:rsid w:val="00573CAC"/>
    <w:rsid w:val="00574958"/>
    <w:rsid w:val="005760ED"/>
    <w:rsid w:val="00576FB4"/>
    <w:rsid w:val="005779A9"/>
    <w:rsid w:val="005835C3"/>
    <w:rsid w:val="00584342"/>
    <w:rsid w:val="00590F52"/>
    <w:rsid w:val="00595A19"/>
    <w:rsid w:val="00596662"/>
    <w:rsid w:val="005A0626"/>
    <w:rsid w:val="005A3D5B"/>
    <w:rsid w:val="005A3EA6"/>
    <w:rsid w:val="005A6594"/>
    <w:rsid w:val="005A711B"/>
    <w:rsid w:val="005A7371"/>
    <w:rsid w:val="005B1CA8"/>
    <w:rsid w:val="005B382B"/>
    <w:rsid w:val="005B43B8"/>
    <w:rsid w:val="005B5210"/>
    <w:rsid w:val="005B5B1D"/>
    <w:rsid w:val="005B68BE"/>
    <w:rsid w:val="005B6C71"/>
    <w:rsid w:val="005B6DCD"/>
    <w:rsid w:val="005C124F"/>
    <w:rsid w:val="005C4B9B"/>
    <w:rsid w:val="005C7352"/>
    <w:rsid w:val="005C76E9"/>
    <w:rsid w:val="005D1EBF"/>
    <w:rsid w:val="005D4810"/>
    <w:rsid w:val="005D5521"/>
    <w:rsid w:val="005D570D"/>
    <w:rsid w:val="005D6DE8"/>
    <w:rsid w:val="005E00ED"/>
    <w:rsid w:val="005E18D0"/>
    <w:rsid w:val="005E2862"/>
    <w:rsid w:val="005E2F06"/>
    <w:rsid w:val="005E49C4"/>
    <w:rsid w:val="005E5908"/>
    <w:rsid w:val="005E6B28"/>
    <w:rsid w:val="005E71B8"/>
    <w:rsid w:val="005F384F"/>
    <w:rsid w:val="005F3B70"/>
    <w:rsid w:val="006020CB"/>
    <w:rsid w:val="00603EBA"/>
    <w:rsid w:val="00605C9D"/>
    <w:rsid w:val="00605FE2"/>
    <w:rsid w:val="006064E8"/>
    <w:rsid w:val="00606EEF"/>
    <w:rsid w:val="006123FF"/>
    <w:rsid w:val="00612D52"/>
    <w:rsid w:val="00615249"/>
    <w:rsid w:val="00615BF3"/>
    <w:rsid w:val="006162F9"/>
    <w:rsid w:val="00616380"/>
    <w:rsid w:val="00617305"/>
    <w:rsid w:val="00621856"/>
    <w:rsid w:val="0062563D"/>
    <w:rsid w:val="00625714"/>
    <w:rsid w:val="00626988"/>
    <w:rsid w:val="00630D41"/>
    <w:rsid w:val="00630E08"/>
    <w:rsid w:val="00632151"/>
    <w:rsid w:val="00634270"/>
    <w:rsid w:val="0063452D"/>
    <w:rsid w:val="006365BD"/>
    <w:rsid w:val="006449E7"/>
    <w:rsid w:val="00652A11"/>
    <w:rsid w:val="0065384D"/>
    <w:rsid w:val="00654DD8"/>
    <w:rsid w:val="00655BF2"/>
    <w:rsid w:val="0065795A"/>
    <w:rsid w:val="006614D2"/>
    <w:rsid w:val="006620B4"/>
    <w:rsid w:val="0066266F"/>
    <w:rsid w:val="0066561C"/>
    <w:rsid w:val="00667C88"/>
    <w:rsid w:val="00670054"/>
    <w:rsid w:val="006706CD"/>
    <w:rsid w:val="00673B57"/>
    <w:rsid w:val="00677828"/>
    <w:rsid w:val="006820C9"/>
    <w:rsid w:val="00683EE7"/>
    <w:rsid w:val="00685DCF"/>
    <w:rsid w:val="006871C2"/>
    <w:rsid w:val="0069023C"/>
    <w:rsid w:val="006913F0"/>
    <w:rsid w:val="0069508A"/>
    <w:rsid w:val="00695A20"/>
    <w:rsid w:val="00696706"/>
    <w:rsid w:val="006A1FE0"/>
    <w:rsid w:val="006A2AAF"/>
    <w:rsid w:val="006A414A"/>
    <w:rsid w:val="006A444E"/>
    <w:rsid w:val="006B17D3"/>
    <w:rsid w:val="006B292C"/>
    <w:rsid w:val="006B3F0D"/>
    <w:rsid w:val="006B5212"/>
    <w:rsid w:val="006B5C68"/>
    <w:rsid w:val="006C1AA1"/>
    <w:rsid w:val="006C1B7A"/>
    <w:rsid w:val="006C2809"/>
    <w:rsid w:val="006C3484"/>
    <w:rsid w:val="006C5D25"/>
    <w:rsid w:val="006D136A"/>
    <w:rsid w:val="006D718F"/>
    <w:rsid w:val="006D7B4C"/>
    <w:rsid w:val="006E30D4"/>
    <w:rsid w:val="006E3EDC"/>
    <w:rsid w:val="006E7C9D"/>
    <w:rsid w:val="006E7E79"/>
    <w:rsid w:val="006F16ED"/>
    <w:rsid w:val="006F5D21"/>
    <w:rsid w:val="006F674E"/>
    <w:rsid w:val="006F7C50"/>
    <w:rsid w:val="006F7CB7"/>
    <w:rsid w:val="00707DD5"/>
    <w:rsid w:val="00713FDE"/>
    <w:rsid w:val="00714376"/>
    <w:rsid w:val="00714D44"/>
    <w:rsid w:val="00715AB5"/>
    <w:rsid w:val="00715FC0"/>
    <w:rsid w:val="00716AC7"/>
    <w:rsid w:val="00721E3D"/>
    <w:rsid w:val="007224AC"/>
    <w:rsid w:val="00722915"/>
    <w:rsid w:val="00722951"/>
    <w:rsid w:val="00725A3E"/>
    <w:rsid w:val="00726C18"/>
    <w:rsid w:val="00727BDC"/>
    <w:rsid w:val="00735658"/>
    <w:rsid w:val="00735E02"/>
    <w:rsid w:val="00736559"/>
    <w:rsid w:val="007423BF"/>
    <w:rsid w:val="00742A19"/>
    <w:rsid w:val="00744D57"/>
    <w:rsid w:val="00745E12"/>
    <w:rsid w:val="00747E12"/>
    <w:rsid w:val="00747FCE"/>
    <w:rsid w:val="00751CE0"/>
    <w:rsid w:val="007543A0"/>
    <w:rsid w:val="007553F9"/>
    <w:rsid w:val="00756465"/>
    <w:rsid w:val="007578E7"/>
    <w:rsid w:val="00765CD6"/>
    <w:rsid w:val="00765DE3"/>
    <w:rsid w:val="0077452D"/>
    <w:rsid w:val="00777714"/>
    <w:rsid w:val="00777A92"/>
    <w:rsid w:val="007814A7"/>
    <w:rsid w:val="00785DD1"/>
    <w:rsid w:val="0078690D"/>
    <w:rsid w:val="00791079"/>
    <w:rsid w:val="0079173F"/>
    <w:rsid w:val="00792658"/>
    <w:rsid w:val="007927B0"/>
    <w:rsid w:val="00793EBC"/>
    <w:rsid w:val="007964EE"/>
    <w:rsid w:val="007A1BCB"/>
    <w:rsid w:val="007A1F14"/>
    <w:rsid w:val="007A372A"/>
    <w:rsid w:val="007A4238"/>
    <w:rsid w:val="007A5E97"/>
    <w:rsid w:val="007A7077"/>
    <w:rsid w:val="007B3BB0"/>
    <w:rsid w:val="007B7977"/>
    <w:rsid w:val="007B79EF"/>
    <w:rsid w:val="007C0066"/>
    <w:rsid w:val="007C0FF3"/>
    <w:rsid w:val="007C319F"/>
    <w:rsid w:val="007C45FB"/>
    <w:rsid w:val="007C5398"/>
    <w:rsid w:val="007C6AFE"/>
    <w:rsid w:val="007C71EF"/>
    <w:rsid w:val="007C73BC"/>
    <w:rsid w:val="007D026F"/>
    <w:rsid w:val="007D0940"/>
    <w:rsid w:val="007D15BB"/>
    <w:rsid w:val="007D4078"/>
    <w:rsid w:val="007D7DD7"/>
    <w:rsid w:val="007E1696"/>
    <w:rsid w:val="007E4424"/>
    <w:rsid w:val="007E4867"/>
    <w:rsid w:val="007E6290"/>
    <w:rsid w:val="007E6951"/>
    <w:rsid w:val="007E771F"/>
    <w:rsid w:val="007E7B29"/>
    <w:rsid w:val="007F05CE"/>
    <w:rsid w:val="007F1AF4"/>
    <w:rsid w:val="007F3B8D"/>
    <w:rsid w:val="007F4318"/>
    <w:rsid w:val="007F5E2F"/>
    <w:rsid w:val="007F79B4"/>
    <w:rsid w:val="00801001"/>
    <w:rsid w:val="0080162C"/>
    <w:rsid w:val="0080171D"/>
    <w:rsid w:val="00802C21"/>
    <w:rsid w:val="00806647"/>
    <w:rsid w:val="008105F6"/>
    <w:rsid w:val="00810DC3"/>
    <w:rsid w:val="008167DD"/>
    <w:rsid w:val="0081716B"/>
    <w:rsid w:val="008176B0"/>
    <w:rsid w:val="00817E75"/>
    <w:rsid w:val="0082051E"/>
    <w:rsid w:val="00820E47"/>
    <w:rsid w:val="0082132B"/>
    <w:rsid w:val="008238EE"/>
    <w:rsid w:val="008253B0"/>
    <w:rsid w:val="00825C3E"/>
    <w:rsid w:val="008261BD"/>
    <w:rsid w:val="0082665C"/>
    <w:rsid w:val="008275D4"/>
    <w:rsid w:val="008321E6"/>
    <w:rsid w:val="00832D79"/>
    <w:rsid w:val="008371F5"/>
    <w:rsid w:val="00837310"/>
    <w:rsid w:val="00841595"/>
    <w:rsid w:val="00842516"/>
    <w:rsid w:val="0084303D"/>
    <w:rsid w:val="00844AD5"/>
    <w:rsid w:val="00844C02"/>
    <w:rsid w:val="00844F5A"/>
    <w:rsid w:val="008463E0"/>
    <w:rsid w:val="00846889"/>
    <w:rsid w:val="00847BB1"/>
    <w:rsid w:val="008508F6"/>
    <w:rsid w:val="00855D86"/>
    <w:rsid w:val="00856F1E"/>
    <w:rsid w:val="00857018"/>
    <w:rsid w:val="0085730C"/>
    <w:rsid w:val="00857786"/>
    <w:rsid w:val="00857C19"/>
    <w:rsid w:val="00861DD7"/>
    <w:rsid w:val="00863B76"/>
    <w:rsid w:val="00863C32"/>
    <w:rsid w:val="00871C69"/>
    <w:rsid w:val="00872133"/>
    <w:rsid w:val="00872EA1"/>
    <w:rsid w:val="008735BC"/>
    <w:rsid w:val="008747DC"/>
    <w:rsid w:val="00875D3B"/>
    <w:rsid w:val="00875DD7"/>
    <w:rsid w:val="008809AB"/>
    <w:rsid w:val="00881607"/>
    <w:rsid w:val="008839B0"/>
    <w:rsid w:val="00883FEE"/>
    <w:rsid w:val="008848C8"/>
    <w:rsid w:val="00885E3B"/>
    <w:rsid w:val="00885E77"/>
    <w:rsid w:val="0088726F"/>
    <w:rsid w:val="00887BDA"/>
    <w:rsid w:val="00890CD6"/>
    <w:rsid w:val="00894372"/>
    <w:rsid w:val="00895DD3"/>
    <w:rsid w:val="008964D6"/>
    <w:rsid w:val="00896783"/>
    <w:rsid w:val="008A14AA"/>
    <w:rsid w:val="008A2599"/>
    <w:rsid w:val="008A27A9"/>
    <w:rsid w:val="008A3E02"/>
    <w:rsid w:val="008A4D3F"/>
    <w:rsid w:val="008A7197"/>
    <w:rsid w:val="008B20EE"/>
    <w:rsid w:val="008B2E78"/>
    <w:rsid w:val="008B3916"/>
    <w:rsid w:val="008B51E5"/>
    <w:rsid w:val="008B6FC3"/>
    <w:rsid w:val="008B74CC"/>
    <w:rsid w:val="008C1578"/>
    <w:rsid w:val="008C28D1"/>
    <w:rsid w:val="008C4737"/>
    <w:rsid w:val="008C79B9"/>
    <w:rsid w:val="008D21E1"/>
    <w:rsid w:val="008D2D20"/>
    <w:rsid w:val="008D3677"/>
    <w:rsid w:val="008D3D1E"/>
    <w:rsid w:val="008D58CC"/>
    <w:rsid w:val="008D79F8"/>
    <w:rsid w:val="008E1082"/>
    <w:rsid w:val="008E1363"/>
    <w:rsid w:val="008E1C6E"/>
    <w:rsid w:val="008E5994"/>
    <w:rsid w:val="008E7475"/>
    <w:rsid w:val="008E74AF"/>
    <w:rsid w:val="008F02FD"/>
    <w:rsid w:val="008F0C02"/>
    <w:rsid w:val="008F10B3"/>
    <w:rsid w:val="008F10F8"/>
    <w:rsid w:val="008F14AF"/>
    <w:rsid w:val="008F207E"/>
    <w:rsid w:val="008F2896"/>
    <w:rsid w:val="008F4B20"/>
    <w:rsid w:val="008F5878"/>
    <w:rsid w:val="008F5F25"/>
    <w:rsid w:val="008F7AA4"/>
    <w:rsid w:val="00901401"/>
    <w:rsid w:val="00904922"/>
    <w:rsid w:val="009100EA"/>
    <w:rsid w:val="00910473"/>
    <w:rsid w:val="0091226D"/>
    <w:rsid w:val="00915CC9"/>
    <w:rsid w:val="009211D5"/>
    <w:rsid w:val="009242DA"/>
    <w:rsid w:val="00926DAF"/>
    <w:rsid w:val="0093318D"/>
    <w:rsid w:val="00935075"/>
    <w:rsid w:val="009379AB"/>
    <w:rsid w:val="00940A21"/>
    <w:rsid w:val="00940FA6"/>
    <w:rsid w:val="009418B7"/>
    <w:rsid w:val="00943255"/>
    <w:rsid w:val="0094542C"/>
    <w:rsid w:val="00950A5D"/>
    <w:rsid w:val="00950B82"/>
    <w:rsid w:val="009514E9"/>
    <w:rsid w:val="00957780"/>
    <w:rsid w:val="009622A6"/>
    <w:rsid w:val="0096764D"/>
    <w:rsid w:val="009726D8"/>
    <w:rsid w:val="00972884"/>
    <w:rsid w:val="009754FB"/>
    <w:rsid w:val="00975762"/>
    <w:rsid w:val="00975D93"/>
    <w:rsid w:val="00976055"/>
    <w:rsid w:val="009761CF"/>
    <w:rsid w:val="00976C44"/>
    <w:rsid w:val="00980B1A"/>
    <w:rsid w:val="00982B6A"/>
    <w:rsid w:val="00983AED"/>
    <w:rsid w:val="00986756"/>
    <w:rsid w:val="00990AA2"/>
    <w:rsid w:val="00992818"/>
    <w:rsid w:val="00993353"/>
    <w:rsid w:val="00994514"/>
    <w:rsid w:val="00995C8A"/>
    <w:rsid w:val="009960E6"/>
    <w:rsid w:val="00996542"/>
    <w:rsid w:val="00997447"/>
    <w:rsid w:val="00997B29"/>
    <w:rsid w:val="009A082E"/>
    <w:rsid w:val="009A1D50"/>
    <w:rsid w:val="009A5129"/>
    <w:rsid w:val="009A53DF"/>
    <w:rsid w:val="009A5C81"/>
    <w:rsid w:val="009A75CB"/>
    <w:rsid w:val="009B02AD"/>
    <w:rsid w:val="009B2A0A"/>
    <w:rsid w:val="009B3E55"/>
    <w:rsid w:val="009B7288"/>
    <w:rsid w:val="009B784E"/>
    <w:rsid w:val="009B79F4"/>
    <w:rsid w:val="009C0C2E"/>
    <w:rsid w:val="009C0F6D"/>
    <w:rsid w:val="009C3F9D"/>
    <w:rsid w:val="009C5EB4"/>
    <w:rsid w:val="009C79BF"/>
    <w:rsid w:val="009D2277"/>
    <w:rsid w:val="009D24FA"/>
    <w:rsid w:val="009D2803"/>
    <w:rsid w:val="009D2B47"/>
    <w:rsid w:val="009D65AB"/>
    <w:rsid w:val="009E017D"/>
    <w:rsid w:val="009E2B42"/>
    <w:rsid w:val="009E3638"/>
    <w:rsid w:val="009E3D0B"/>
    <w:rsid w:val="009E3F52"/>
    <w:rsid w:val="009E47E0"/>
    <w:rsid w:val="009E4E44"/>
    <w:rsid w:val="009E6727"/>
    <w:rsid w:val="009E74D5"/>
    <w:rsid w:val="009F378E"/>
    <w:rsid w:val="009F655B"/>
    <w:rsid w:val="009F7028"/>
    <w:rsid w:val="009F746C"/>
    <w:rsid w:val="00A03B1F"/>
    <w:rsid w:val="00A05A2C"/>
    <w:rsid w:val="00A06214"/>
    <w:rsid w:val="00A06627"/>
    <w:rsid w:val="00A0710F"/>
    <w:rsid w:val="00A10D2C"/>
    <w:rsid w:val="00A136EA"/>
    <w:rsid w:val="00A14066"/>
    <w:rsid w:val="00A146A9"/>
    <w:rsid w:val="00A14D0B"/>
    <w:rsid w:val="00A17768"/>
    <w:rsid w:val="00A20032"/>
    <w:rsid w:val="00A24730"/>
    <w:rsid w:val="00A25068"/>
    <w:rsid w:val="00A26A35"/>
    <w:rsid w:val="00A30818"/>
    <w:rsid w:val="00A3464F"/>
    <w:rsid w:val="00A3733A"/>
    <w:rsid w:val="00A40775"/>
    <w:rsid w:val="00A40CD9"/>
    <w:rsid w:val="00A44408"/>
    <w:rsid w:val="00A44B58"/>
    <w:rsid w:val="00A456CA"/>
    <w:rsid w:val="00A4600B"/>
    <w:rsid w:val="00A46E38"/>
    <w:rsid w:val="00A47123"/>
    <w:rsid w:val="00A50BB8"/>
    <w:rsid w:val="00A52ADC"/>
    <w:rsid w:val="00A53212"/>
    <w:rsid w:val="00A55367"/>
    <w:rsid w:val="00A56C9B"/>
    <w:rsid w:val="00A630B5"/>
    <w:rsid w:val="00A64DF5"/>
    <w:rsid w:val="00A67163"/>
    <w:rsid w:val="00A70A60"/>
    <w:rsid w:val="00A70C47"/>
    <w:rsid w:val="00A723FA"/>
    <w:rsid w:val="00A72BF5"/>
    <w:rsid w:val="00A74AFA"/>
    <w:rsid w:val="00A759B3"/>
    <w:rsid w:val="00A77588"/>
    <w:rsid w:val="00A777FC"/>
    <w:rsid w:val="00A8042F"/>
    <w:rsid w:val="00A80801"/>
    <w:rsid w:val="00A80E73"/>
    <w:rsid w:val="00A83869"/>
    <w:rsid w:val="00A8478D"/>
    <w:rsid w:val="00A849A6"/>
    <w:rsid w:val="00A85096"/>
    <w:rsid w:val="00A854B1"/>
    <w:rsid w:val="00A85C2E"/>
    <w:rsid w:val="00A86B2B"/>
    <w:rsid w:val="00A873AC"/>
    <w:rsid w:val="00A8766D"/>
    <w:rsid w:val="00A9117F"/>
    <w:rsid w:val="00A968CF"/>
    <w:rsid w:val="00AA22B2"/>
    <w:rsid w:val="00AB1827"/>
    <w:rsid w:val="00AB2403"/>
    <w:rsid w:val="00AB3485"/>
    <w:rsid w:val="00AB38E5"/>
    <w:rsid w:val="00AB763A"/>
    <w:rsid w:val="00AB7EE3"/>
    <w:rsid w:val="00AC195D"/>
    <w:rsid w:val="00AC2E0E"/>
    <w:rsid w:val="00AC3C17"/>
    <w:rsid w:val="00AC4649"/>
    <w:rsid w:val="00AC51AC"/>
    <w:rsid w:val="00AC51C3"/>
    <w:rsid w:val="00AC6253"/>
    <w:rsid w:val="00AD1298"/>
    <w:rsid w:val="00AD38C5"/>
    <w:rsid w:val="00AD5062"/>
    <w:rsid w:val="00AD6830"/>
    <w:rsid w:val="00AD69E9"/>
    <w:rsid w:val="00AE1397"/>
    <w:rsid w:val="00AE26E4"/>
    <w:rsid w:val="00AF1487"/>
    <w:rsid w:val="00AF321C"/>
    <w:rsid w:val="00AF7642"/>
    <w:rsid w:val="00B00E12"/>
    <w:rsid w:val="00B03D18"/>
    <w:rsid w:val="00B03E51"/>
    <w:rsid w:val="00B04D17"/>
    <w:rsid w:val="00B06FCA"/>
    <w:rsid w:val="00B11628"/>
    <w:rsid w:val="00B127B5"/>
    <w:rsid w:val="00B13738"/>
    <w:rsid w:val="00B1776A"/>
    <w:rsid w:val="00B205DE"/>
    <w:rsid w:val="00B25CB5"/>
    <w:rsid w:val="00B26AFF"/>
    <w:rsid w:val="00B310CC"/>
    <w:rsid w:val="00B324BF"/>
    <w:rsid w:val="00B332EF"/>
    <w:rsid w:val="00B3580D"/>
    <w:rsid w:val="00B35EF5"/>
    <w:rsid w:val="00B36E88"/>
    <w:rsid w:val="00B40673"/>
    <w:rsid w:val="00B417D0"/>
    <w:rsid w:val="00B42E6F"/>
    <w:rsid w:val="00B43023"/>
    <w:rsid w:val="00B458B3"/>
    <w:rsid w:val="00B4668F"/>
    <w:rsid w:val="00B467A1"/>
    <w:rsid w:val="00B4709B"/>
    <w:rsid w:val="00B5027F"/>
    <w:rsid w:val="00B5069C"/>
    <w:rsid w:val="00B5231C"/>
    <w:rsid w:val="00B57D1F"/>
    <w:rsid w:val="00B602E7"/>
    <w:rsid w:val="00B62A96"/>
    <w:rsid w:val="00B63446"/>
    <w:rsid w:val="00B6452C"/>
    <w:rsid w:val="00B659E2"/>
    <w:rsid w:val="00B67E9B"/>
    <w:rsid w:val="00B708E9"/>
    <w:rsid w:val="00B712B3"/>
    <w:rsid w:val="00B717F5"/>
    <w:rsid w:val="00B72A56"/>
    <w:rsid w:val="00B82DAF"/>
    <w:rsid w:val="00B86490"/>
    <w:rsid w:val="00B86F44"/>
    <w:rsid w:val="00B877CE"/>
    <w:rsid w:val="00B9020D"/>
    <w:rsid w:val="00B935AC"/>
    <w:rsid w:val="00B93BA7"/>
    <w:rsid w:val="00B957D6"/>
    <w:rsid w:val="00BA3452"/>
    <w:rsid w:val="00BB0AF2"/>
    <w:rsid w:val="00BB0FFF"/>
    <w:rsid w:val="00BB150A"/>
    <w:rsid w:val="00BB2472"/>
    <w:rsid w:val="00BB355C"/>
    <w:rsid w:val="00BB3E33"/>
    <w:rsid w:val="00BB3F2A"/>
    <w:rsid w:val="00BB5618"/>
    <w:rsid w:val="00BB67B5"/>
    <w:rsid w:val="00BC0A7E"/>
    <w:rsid w:val="00BC0B77"/>
    <w:rsid w:val="00BC2577"/>
    <w:rsid w:val="00BC4218"/>
    <w:rsid w:val="00BC4737"/>
    <w:rsid w:val="00BC529C"/>
    <w:rsid w:val="00BC6BB5"/>
    <w:rsid w:val="00BD1EA2"/>
    <w:rsid w:val="00BD39C3"/>
    <w:rsid w:val="00BD4734"/>
    <w:rsid w:val="00BD5BFF"/>
    <w:rsid w:val="00BD696A"/>
    <w:rsid w:val="00BE2370"/>
    <w:rsid w:val="00BE6FFE"/>
    <w:rsid w:val="00BF0791"/>
    <w:rsid w:val="00BF0EB8"/>
    <w:rsid w:val="00BF268D"/>
    <w:rsid w:val="00BF3C16"/>
    <w:rsid w:val="00BF45DB"/>
    <w:rsid w:val="00BF4C8D"/>
    <w:rsid w:val="00BF5041"/>
    <w:rsid w:val="00BF519A"/>
    <w:rsid w:val="00BF54D4"/>
    <w:rsid w:val="00BF75DA"/>
    <w:rsid w:val="00C02578"/>
    <w:rsid w:val="00C04831"/>
    <w:rsid w:val="00C05EF9"/>
    <w:rsid w:val="00C07D65"/>
    <w:rsid w:val="00C07DC6"/>
    <w:rsid w:val="00C12519"/>
    <w:rsid w:val="00C12DB9"/>
    <w:rsid w:val="00C1567C"/>
    <w:rsid w:val="00C202D1"/>
    <w:rsid w:val="00C21976"/>
    <w:rsid w:val="00C229A1"/>
    <w:rsid w:val="00C22BF6"/>
    <w:rsid w:val="00C2623A"/>
    <w:rsid w:val="00C27C6B"/>
    <w:rsid w:val="00C27F89"/>
    <w:rsid w:val="00C3132D"/>
    <w:rsid w:val="00C33337"/>
    <w:rsid w:val="00C3376E"/>
    <w:rsid w:val="00C35D8F"/>
    <w:rsid w:val="00C37C75"/>
    <w:rsid w:val="00C40EDD"/>
    <w:rsid w:val="00C412AC"/>
    <w:rsid w:val="00C42F0E"/>
    <w:rsid w:val="00C47042"/>
    <w:rsid w:val="00C47F6D"/>
    <w:rsid w:val="00C50CF6"/>
    <w:rsid w:val="00C53F36"/>
    <w:rsid w:val="00C54AD9"/>
    <w:rsid w:val="00C5511F"/>
    <w:rsid w:val="00C55708"/>
    <w:rsid w:val="00C56347"/>
    <w:rsid w:val="00C64204"/>
    <w:rsid w:val="00C65B62"/>
    <w:rsid w:val="00C71848"/>
    <w:rsid w:val="00C729E1"/>
    <w:rsid w:val="00C766C8"/>
    <w:rsid w:val="00C809F0"/>
    <w:rsid w:val="00C80B11"/>
    <w:rsid w:val="00C8260C"/>
    <w:rsid w:val="00C84176"/>
    <w:rsid w:val="00C85266"/>
    <w:rsid w:val="00C93C87"/>
    <w:rsid w:val="00C94462"/>
    <w:rsid w:val="00C97CB9"/>
    <w:rsid w:val="00CA15AD"/>
    <w:rsid w:val="00CA1FE6"/>
    <w:rsid w:val="00CA4240"/>
    <w:rsid w:val="00CA478A"/>
    <w:rsid w:val="00CA59AB"/>
    <w:rsid w:val="00CA6024"/>
    <w:rsid w:val="00CA6A3B"/>
    <w:rsid w:val="00CA75F4"/>
    <w:rsid w:val="00CB06F8"/>
    <w:rsid w:val="00CB0D79"/>
    <w:rsid w:val="00CB0F70"/>
    <w:rsid w:val="00CB4347"/>
    <w:rsid w:val="00CB47C2"/>
    <w:rsid w:val="00CB5A41"/>
    <w:rsid w:val="00CB5A76"/>
    <w:rsid w:val="00CB6AB1"/>
    <w:rsid w:val="00CC19CB"/>
    <w:rsid w:val="00CC3479"/>
    <w:rsid w:val="00CC37D4"/>
    <w:rsid w:val="00CC72BF"/>
    <w:rsid w:val="00CD1658"/>
    <w:rsid w:val="00CD25AF"/>
    <w:rsid w:val="00CD296B"/>
    <w:rsid w:val="00CD5480"/>
    <w:rsid w:val="00CE12F0"/>
    <w:rsid w:val="00CE167B"/>
    <w:rsid w:val="00CE21C1"/>
    <w:rsid w:val="00CE2EC1"/>
    <w:rsid w:val="00CE3CF8"/>
    <w:rsid w:val="00CE7AE1"/>
    <w:rsid w:val="00CF5C0B"/>
    <w:rsid w:val="00D05A7E"/>
    <w:rsid w:val="00D06313"/>
    <w:rsid w:val="00D073E6"/>
    <w:rsid w:val="00D1150D"/>
    <w:rsid w:val="00D11AA8"/>
    <w:rsid w:val="00D1397F"/>
    <w:rsid w:val="00D13EC1"/>
    <w:rsid w:val="00D1452C"/>
    <w:rsid w:val="00D1496D"/>
    <w:rsid w:val="00D14CC8"/>
    <w:rsid w:val="00D15749"/>
    <w:rsid w:val="00D16D90"/>
    <w:rsid w:val="00D21DD3"/>
    <w:rsid w:val="00D2590B"/>
    <w:rsid w:val="00D27E0E"/>
    <w:rsid w:val="00D325F6"/>
    <w:rsid w:val="00D340DD"/>
    <w:rsid w:val="00D3537B"/>
    <w:rsid w:val="00D36994"/>
    <w:rsid w:val="00D4175B"/>
    <w:rsid w:val="00D429D2"/>
    <w:rsid w:val="00D4658F"/>
    <w:rsid w:val="00D4747F"/>
    <w:rsid w:val="00D50027"/>
    <w:rsid w:val="00D51DD6"/>
    <w:rsid w:val="00D539DB"/>
    <w:rsid w:val="00D54B6C"/>
    <w:rsid w:val="00D55B97"/>
    <w:rsid w:val="00D56CB3"/>
    <w:rsid w:val="00D639DF"/>
    <w:rsid w:val="00D63C01"/>
    <w:rsid w:val="00D6477C"/>
    <w:rsid w:val="00D65BBB"/>
    <w:rsid w:val="00D65E49"/>
    <w:rsid w:val="00D6716F"/>
    <w:rsid w:val="00D71EA9"/>
    <w:rsid w:val="00D757A7"/>
    <w:rsid w:val="00D77F27"/>
    <w:rsid w:val="00D81361"/>
    <w:rsid w:val="00D845AA"/>
    <w:rsid w:val="00D91295"/>
    <w:rsid w:val="00D96F57"/>
    <w:rsid w:val="00DA1B61"/>
    <w:rsid w:val="00DA45B4"/>
    <w:rsid w:val="00DA5D72"/>
    <w:rsid w:val="00DA5FDC"/>
    <w:rsid w:val="00DB0439"/>
    <w:rsid w:val="00DB0CE8"/>
    <w:rsid w:val="00DB42A5"/>
    <w:rsid w:val="00DB539F"/>
    <w:rsid w:val="00DC0FF7"/>
    <w:rsid w:val="00DC311C"/>
    <w:rsid w:val="00DC7C37"/>
    <w:rsid w:val="00DD1224"/>
    <w:rsid w:val="00DD38AE"/>
    <w:rsid w:val="00DD38BE"/>
    <w:rsid w:val="00DD401D"/>
    <w:rsid w:val="00DD6E97"/>
    <w:rsid w:val="00DD78B1"/>
    <w:rsid w:val="00DD79B6"/>
    <w:rsid w:val="00DE0AAE"/>
    <w:rsid w:val="00DE0BF5"/>
    <w:rsid w:val="00DE4824"/>
    <w:rsid w:val="00DE5DF2"/>
    <w:rsid w:val="00DE69EA"/>
    <w:rsid w:val="00DE6BD6"/>
    <w:rsid w:val="00DE6FEA"/>
    <w:rsid w:val="00DF00D3"/>
    <w:rsid w:val="00DF2D26"/>
    <w:rsid w:val="00DF33A1"/>
    <w:rsid w:val="00DF3B85"/>
    <w:rsid w:val="00DF4A6D"/>
    <w:rsid w:val="00DF4E54"/>
    <w:rsid w:val="00DF619C"/>
    <w:rsid w:val="00DF685E"/>
    <w:rsid w:val="00DF6BEF"/>
    <w:rsid w:val="00E02C35"/>
    <w:rsid w:val="00E03230"/>
    <w:rsid w:val="00E048A9"/>
    <w:rsid w:val="00E0699A"/>
    <w:rsid w:val="00E13652"/>
    <w:rsid w:val="00E13AE6"/>
    <w:rsid w:val="00E14F12"/>
    <w:rsid w:val="00E15525"/>
    <w:rsid w:val="00E157E1"/>
    <w:rsid w:val="00E164A9"/>
    <w:rsid w:val="00E172F8"/>
    <w:rsid w:val="00E20300"/>
    <w:rsid w:val="00E20C66"/>
    <w:rsid w:val="00E21C46"/>
    <w:rsid w:val="00E22396"/>
    <w:rsid w:val="00E238F4"/>
    <w:rsid w:val="00E2440B"/>
    <w:rsid w:val="00E26B63"/>
    <w:rsid w:val="00E26D59"/>
    <w:rsid w:val="00E32329"/>
    <w:rsid w:val="00E323CC"/>
    <w:rsid w:val="00E347BE"/>
    <w:rsid w:val="00E435FC"/>
    <w:rsid w:val="00E43DFE"/>
    <w:rsid w:val="00E44FBA"/>
    <w:rsid w:val="00E46180"/>
    <w:rsid w:val="00E477AA"/>
    <w:rsid w:val="00E47DE1"/>
    <w:rsid w:val="00E47F24"/>
    <w:rsid w:val="00E47FBB"/>
    <w:rsid w:val="00E511A6"/>
    <w:rsid w:val="00E54BAA"/>
    <w:rsid w:val="00E63CEC"/>
    <w:rsid w:val="00E6602D"/>
    <w:rsid w:val="00E723C2"/>
    <w:rsid w:val="00E7382A"/>
    <w:rsid w:val="00E742F7"/>
    <w:rsid w:val="00E74DFE"/>
    <w:rsid w:val="00E815A5"/>
    <w:rsid w:val="00E82135"/>
    <w:rsid w:val="00E8248B"/>
    <w:rsid w:val="00E83CAE"/>
    <w:rsid w:val="00E85305"/>
    <w:rsid w:val="00E85FEA"/>
    <w:rsid w:val="00E86898"/>
    <w:rsid w:val="00E86A6E"/>
    <w:rsid w:val="00E914AF"/>
    <w:rsid w:val="00E93FB4"/>
    <w:rsid w:val="00E94032"/>
    <w:rsid w:val="00E95AA7"/>
    <w:rsid w:val="00E9679D"/>
    <w:rsid w:val="00EA2B3F"/>
    <w:rsid w:val="00EA57C5"/>
    <w:rsid w:val="00EA6820"/>
    <w:rsid w:val="00EA7B92"/>
    <w:rsid w:val="00EB1B80"/>
    <w:rsid w:val="00EC164D"/>
    <w:rsid w:val="00EC3CB5"/>
    <w:rsid w:val="00EC4833"/>
    <w:rsid w:val="00EC6509"/>
    <w:rsid w:val="00ED1087"/>
    <w:rsid w:val="00ED23F9"/>
    <w:rsid w:val="00ED30FC"/>
    <w:rsid w:val="00ED3EEA"/>
    <w:rsid w:val="00ED58BE"/>
    <w:rsid w:val="00ED635C"/>
    <w:rsid w:val="00ED7014"/>
    <w:rsid w:val="00ED7439"/>
    <w:rsid w:val="00EE276B"/>
    <w:rsid w:val="00EE49F2"/>
    <w:rsid w:val="00EF0407"/>
    <w:rsid w:val="00EF1D44"/>
    <w:rsid w:val="00EF43AF"/>
    <w:rsid w:val="00EF75CE"/>
    <w:rsid w:val="00F00D1A"/>
    <w:rsid w:val="00F01175"/>
    <w:rsid w:val="00F012AB"/>
    <w:rsid w:val="00F01382"/>
    <w:rsid w:val="00F028FB"/>
    <w:rsid w:val="00F03105"/>
    <w:rsid w:val="00F036B0"/>
    <w:rsid w:val="00F04105"/>
    <w:rsid w:val="00F06B92"/>
    <w:rsid w:val="00F07B73"/>
    <w:rsid w:val="00F10029"/>
    <w:rsid w:val="00F1390B"/>
    <w:rsid w:val="00F14819"/>
    <w:rsid w:val="00F15185"/>
    <w:rsid w:val="00F163ED"/>
    <w:rsid w:val="00F17365"/>
    <w:rsid w:val="00F2007A"/>
    <w:rsid w:val="00F21BBC"/>
    <w:rsid w:val="00F235CE"/>
    <w:rsid w:val="00F24047"/>
    <w:rsid w:val="00F31141"/>
    <w:rsid w:val="00F31E0D"/>
    <w:rsid w:val="00F32BDA"/>
    <w:rsid w:val="00F348E7"/>
    <w:rsid w:val="00F34B71"/>
    <w:rsid w:val="00F35236"/>
    <w:rsid w:val="00F36927"/>
    <w:rsid w:val="00F3737E"/>
    <w:rsid w:val="00F43A09"/>
    <w:rsid w:val="00F52846"/>
    <w:rsid w:val="00F54DF9"/>
    <w:rsid w:val="00F60AC6"/>
    <w:rsid w:val="00F6156C"/>
    <w:rsid w:val="00F6565D"/>
    <w:rsid w:val="00F6599D"/>
    <w:rsid w:val="00F674A9"/>
    <w:rsid w:val="00F67559"/>
    <w:rsid w:val="00F67B28"/>
    <w:rsid w:val="00F73913"/>
    <w:rsid w:val="00F749F3"/>
    <w:rsid w:val="00F75A5C"/>
    <w:rsid w:val="00F81D5D"/>
    <w:rsid w:val="00F82734"/>
    <w:rsid w:val="00F92583"/>
    <w:rsid w:val="00F94F65"/>
    <w:rsid w:val="00F95213"/>
    <w:rsid w:val="00F9754D"/>
    <w:rsid w:val="00FA3192"/>
    <w:rsid w:val="00FA4663"/>
    <w:rsid w:val="00FB0A19"/>
    <w:rsid w:val="00FB1ED1"/>
    <w:rsid w:val="00FB3D8B"/>
    <w:rsid w:val="00FB4060"/>
    <w:rsid w:val="00FB439B"/>
    <w:rsid w:val="00FB4EB8"/>
    <w:rsid w:val="00FB4F6B"/>
    <w:rsid w:val="00FC0141"/>
    <w:rsid w:val="00FC2E8A"/>
    <w:rsid w:val="00FC44F0"/>
    <w:rsid w:val="00FC67A4"/>
    <w:rsid w:val="00FD0CFD"/>
    <w:rsid w:val="00FD7041"/>
    <w:rsid w:val="00FE0421"/>
    <w:rsid w:val="00FE1601"/>
    <w:rsid w:val="00FE29AE"/>
    <w:rsid w:val="00FE3621"/>
    <w:rsid w:val="00FE3E3D"/>
    <w:rsid w:val="00FF1A0F"/>
    <w:rsid w:val="00FF3506"/>
    <w:rsid w:val="00FF5567"/>
    <w:rsid w:val="00FF6D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DC243"/>
  <w15:docId w15:val="{89191916-60EB-4D5D-B50C-1D9A9CFD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cs="Times New Roman"/>
      <w:b/>
      <w:bCs/>
      <w:color w:val="365F91"/>
      <w:sz w:val="28"/>
      <w:szCs w:val="28"/>
      <w:lang w:val="id-ID"/>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Cambria" w:eastAsia="SimSun" w:hAnsi="Cambria" w:cs="Times New Roman"/>
      <w:color w:val="365F91"/>
      <w:sz w:val="26"/>
      <w:szCs w:val="26"/>
    </w:rPr>
  </w:style>
  <w:style w:type="paragraph" w:styleId="Heading3">
    <w:name w:val="heading 3"/>
    <w:basedOn w:val="Normal"/>
    <w:next w:val="Normal"/>
    <w:link w:val="Heading3Char"/>
    <w:uiPriority w:val="9"/>
    <w:semiHidden/>
    <w:unhideWhenUsed/>
    <w:qFormat/>
    <w:pPr>
      <w:keepNext/>
      <w:keepLines/>
      <w:spacing w:before="280" w:after="80"/>
      <w:outlineLvl w:val="2"/>
    </w:pPr>
    <w:rPr>
      <w:rFonts w:cs="Calibri"/>
      <w:b/>
      <w:sz w:val="28"/>
      <w:szCs w:val="28"/>
      <w:lang w:eastAsia="id-ID"/>
    </w:rPr>
  </w:style>
  <w:style w:type="paragraph" w:styleId="Heading4">
    <w:name w:val="heading 4"/>
    <w:basedOn w:val="Normal"/>
    <w:next w:val="Normal"/>
    <w:link w:val="Heading4Char"/>
    <w:uiPriority w:val="9"/>
    <w:semiHidden/>
    <w:unhideWhenUsed/>
    <w:qFormat/>
    <w:pPr>
      <w:keepNext/>
      <w:keepLines/>
      <w:spacing w:before="240" w:after="40"/>
      <w:outlineLvl w:val="3"/>
    </w:pPr>
    <w:rPr>
      <w:rFonts w:cs="Calibri"/>
      <w:b/>
      <w:sz w:val="24"/>
      <w:szCs w:val="24"/>
      <w:lang w:eastAsia="id-ID"/>
    </w:rPr>
  </w:style>
  <w:style w:type="paragraph" w:styleId="Heading5">
    <w:name w:val="heading 5"/>
    <w:basedOn w:val="Normal"/>
    <w:next w:val="Normal"/>
    <w:link w:val="Heading5Char"/>
    <w:uiPriority w:val="9"/>
    <w:semiHidden/>
    <w:unhideWhenUsed/>
    <w:qFormat/>
    <w:pPr>
      <w:keepNext/>
      <w:keepLines/>
      <w:spacing w:before="220" w:after="40"/>
      <w:outlineLvl w:val="4"/>
    </w:pPr>
    <w:rPr>
      <w:rFonts w:cs="Calibri"/>
      <w:b/>
      <w:lang w:eastAsia="id-ID"/>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Cambria" w:eastAsia="SimSun" w:hAnsi="Cambria" w:cs="Times New Roman"/>
      <w:color w:val="243F60"/>
    </w:rPr>
  </w:style>
  <w:style w:type="paragraph" w:styleId="Heading8">
    <w:name w:val="heading 8"/>
    <w:basedOn w:val="Normal"/>
    <w:next w:val="Normal"/>
    <w:link w:val="Heading8Char"/>
    <w:uiPriority w:val="9"/>
    <w:qFormat/>
    <w:pPr>
      <w:keepNext/>
      <w:keepLines/>
      <w:spacing w:before="40" w:after="0"/>
      <w:outlineLvl w:val="7"/>
    </w:pPr>
    <w:rPr>
      <w:rFonts w:ascii="Cambria" w:eastAsia="SimSun" w:hAnsi="Cambria" w:cs="Times New Roman"/>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Pr>
      <w:color w:val="0000FF"/>
      <w:u w:val="single"/>
    </w:rPr>
  </w:style>
  <w:style w:type="paragraph" w:styleId="ListParagraph">
    <w:name w:val="List Paragraph"/>
    <w:aliases w:val="Body of text,Title Proposal,sub-section,Body of text+1,Body of text+2,Body of text+3,Colorful List - Accent 11,Colorful List - Accent 111,HEADING 1,Heading 10,Heading 11,Heading 111,Heading 12,List Paragraph11,Medium Grid 1 - Accent 21,r"/>
    <w:basedOn w:val="Normal"/>
    <w:link w:val="ListParagraphChar"/>
    <w:uiPriority w:val="1"/>
    <w:qFormat/>
    <w:pPr>
      <w:ind w:left="720"/>
      <w:contextualSpacing/>
    </w:p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paragraph" w:styleId="FootnoteText">
    <w:name w:val="footnote text"/>
    <w:basedOn w:val="Normal"/>
    <w:link w:val="FootnoteTextChar"/>
    <w:uiPriority w:val="99"/>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Pr>
      <w:rFonts w:eastAsia="Times New Roman" w:cs="Times New Roman"/>
      <w:sz w:val="20"/>
      <w:szCs w:val="20"/>
    </w:rPr>
  </w:style>
  <w:style w:type="character" w:styleId="FootnoteReference">
    <w:name w:val="footnote reference"/>
    <w:basedOn w:val="DefaultParagraphFont"/>
    <w:uiPriority w:val="99"/>
    <w:rPr>
      <w:rFonts w:cs="Times New Roman"/>
      <w:vertAlign w:val="superscript"/>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customStyle="1" w:styleId="Heading1Char">
    <w:name w:val="Heading 1 Char"/>
    <w:basedOn w:val="DefaultParagraphFont"/>
    <w:link w:val="Heading1"/>
    <w:uiPriority w:val="9"/>
    <w:rPr>
      <w:rFonts w:ascii="Cambria" w:eastAsia="SimSun" w:hAnsi="Cambria" w:cs="Times New Roman"/>
      <w:b/>
      <w:bCs/>
      <w:color w:val="365F91"/>
      <w:sz w:val="28"/>
      <w:szCs w:val="28"/>
      <w:lang w:val="id-ID"/>
    </w:rPr>
  </w:style>
  <w:style w:type="table" w:styleId="TableGrid">
    <w:name w:val="Table Grid"/>
    <w:aliases w:val="Table UUM"/>
    <w:basedOn w:val="TableNormal"/>
    <w:uiPriority w:val="59"/>
    <w:qFormat/>
    <w:pPr>
      <w:spacing w:after="0" w:line="240" w:lineRule="auto"/>
    </w:pPr>
    <w:rPr>
      <w:rFonts w:ascii="Times New Roman" w:hAnsi="Times New Roman"/>
      <w:sz w:val="24"/>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uiPriority w:val="10"/>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EndnoteReference">
    <w:name w:val="endnote reference"/>
    <w:uiPriority w:val="99"/>
    <w:rPr>
      <w:vertAlign w:val="superscript"/>
    </w:rPr>
  </w:style>
  <w:style w:type="paragraph" w:styleId="EndnoteText">
    <w:name w:val="endnote text"/>
    <w:basedOn w:val="Normal"/>
    <w:link w:val="EndnoteTextChar"/>
    <w:uiPriority w:val="99"/>
    <w:pPr>
      <w:spacing w:after="0" w:line="240" w:lineRule="auto"/>
      <w:ind w:firstLine="706"/>
      <w:jc w:val="both"/>
    </w:pPr>
    <w:rPr>
      <w:rFonts w:cs="Times New Roman"/>
      <w:sz w:val="20"/>
      <w:szCs w:val="20"/>
    </w:rPr>
  </w:style>
  <w:style w:type="character" w:customStyle="1" w:styleId="EndnoteTextChar">
    <w:name w:val="Endnote Text Char"/>
    <w:basedOn w:val="DefaultParagraphFont"/>
    <w:link w:val="EndnoteText"/>
    <w:uiPriority w:val="99"/>
    <w:rPr>
      <w:rFonts w:ascii="Calibri" w:eastAsia="Calibri" w:hAnsi="Calibri" w:cs="Times New Roman"/>
      <w:sz w:val="20"/>
      <w:szCs w:val="20"/>
    </w:rPr>
  </w:style>
  <w:style w:type="character" w:customStyle="1" w:styleId="Heading6Char">
    <w:name w:val="Heading 6 Char"/>
    <w:basedOn w:val="DefaultParagraphFont"/>
    <w:link w:val="Heading6"/>
    <w:uiPriority w:val="9"/>
    <w:rPr>
      <w:rFonts w:ascii="Cambria" w:eastAsia="SimSun" w:hAnsi="Cambria" w:cs="Times New Roman"/>
      <w:color w:val="243F60"/>
    </w:rPr>
  </w:style>
  <w:style w:type="character" w:customStyle="1" w:styleId="Heading8Char">
    <w:name w:val="Heading 8 Char"/>
    <w:basedOn w:val="DefaultParagraphFont"/>
    <w:link w:val="Heading8"/>
    <w:uiPriority w:val="9"/>
    <w:rPr>
      <w:rFonts w:ascii="Cambria" w:eastAsia="SimSun" w:hAnsi="Cambria" w:cs="Times New Roman"/>
      <w:color w:val="272727"/>
      <w:sz w:val="21"/>
      <w:szCs w:val="21"/>
    </w:rPr>
  </w:style>
  <w:style w:type="paragraph" w:customStyle="1" w:styleId="SectionHeadingMaJER">
    <w:name w:val="Section Heading MaJER"/>
    <w:basedOn w:val="Normal"/>
    <w:qFormat/>
    <w:pPr>
      <w:spacing w:after="100" w:afterAutospacing="1" w:line="240" w:lineRule="auto"/>
      <w:ind w:left="720" w:hanging="720"/>
      <w:jc w:val="both"/>
    </w:pPr>
    <w:rPr>
      <w:rFonts w:ascii="Times New Roman" w:eastAsia="Times New Roman" w:hAnsi="Times New Roman" w:cs="Times New Roman"/>
      <w:bCs/>
      <w:snapToGrid w:val="0"/>
      <w:sz w:val="24"/>
      <w:szCs w:val="24"/>
      <w:lang w:eastAsia="es-ES"/>
    </w:rPr>
  </w:style>
  <w:style w:type="paragraph" w:styleId="NoSpacing">
    <w:name w:val="No Spacing"/>
    <w:link w:val="NoSpacingChar"/>
    <w:uiPriority w:val="1"/>
    <w:qFormat/>
    <w:pPr>
      <w:spacing w:after="0" w:line="240" w:lineRule="auto"/>
    </w:pPr>
    <w:rPr>
      <w:rFonts w:eastAsia="SimSun"/>
      <w:lang w:val="id-ID"/>
    </w:rPr>
  </w:style>
  <w:style w:type="table" w:styleId="LightShading">
    <w:name w:val="Light Shading"/>
    <w:basedOn w:val="TableNormal"/>
    <w:uiPriority w:val="60"/>
    <w:pPr>
      <w:spacing w:after="0" w:line="240" w:lineRule="auto"/>
    </w:pPr>
    <w:rPr>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lid-translation">
    <w:name w:val="tlid-translation"/>
    <w:basedOn w:val="DefaultParagraphFont"/>
  </w:style>
  <w:style w:type="character" w:customStyle="1" w:styleId="UnresolvedMention1">
    <w:name w:val="Unresolved Mention1"/>
    <w:basedOn w:val="DefaultParagraphFont"/>
    <w:uiPriority w:val="99"/>
    <w:rPr>
      <w:color w:val="605E5C"/>
      <w:shd w:val="clear" w:color="auto" w:fill="E1DFDD"/>
    </w:rPr>
  </w:style>
  <w:style w:type="character" w:customStyle="1" w:styleId="mceitemhidden">
    <w:name w:val="mceitemhidden"/>
    <w:basedOn w:val="DefaultParagraphFont"/>
  </w:style>
  <w:style w:type="character" w:customStyle="1" w:styleId="AffiliationsChar">
    <w:name w:val="Affiliations Char"/>
    <w:basedOn w:val="DefaultParagraphFont"/>
    <w:link w:val="Affiliations"/>
    <w:rPr>
      <w:rFonts w:ascii="Times New Roman" w:eastAsia="Times New Roman" w:hAnsi="Times New Roman" w:cs="Times New Roman"/>
      <w:sz w:val="24"/>
    </w:rPr>
  </w:style>
  <w:style w:type="paragraph" w:customStyle="1" w:styleId="Affiliations">
    <w:name w:val="Affiliations"/>
    <w:basedOn w:val="Normal"/>
    <w:link w:val="AffiliationsChar"/>
    <w:pPr>
      <w:widowControl w:val="0"/>
      <w:spacing w:after="0" w:line="360" w:lineRule="auto"/>
      <w:jc w:val="center"/>
    </w:pPr>
    <w:rPr>
      <w:rFonts w:ascii="Times New Roman" w:eastAsia="Times New Roman" w:hAnsi="Times New Roman" w:cs="Times New Roman"/>
      <w:sz w:val="24"/>
    </w:rPr>
  </w:style>
  <w:style w:type="character" w:styleId="FollowedHyperlink">
    <w:name w:val="FollowedHyperlink"/>
    <w:basedOn w:val="DefaultParagraphFont"/>
    <w:uiPriority w:val="99"/>
    <w:rPr>
      <w:color w:val="800080"/>
      <w:u w:val="single"/>
    </w:rPr>
  </w:style>
  <w:style w:type="character" w:customStyle="1" w:styleId="SebutanYangBelumTerselesaikan1">
    <w:name w:val="Sebutan Yang Belum Terselesaikan1"/>
    <w:basedOn w:val="DefaultParagraphFont"/>
    <w:uiPriority w:val="99"/>
    <w:rPr>
      <w:color w:val="605E5C"/>
      <w:shd w:val="clear" w:color="auto" w:fill="E1DFDD"/>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UnresolvedMention2">
    <w:name w:val="Unresolved Mention2"/>
    <w:basedOn w:val="DefaultParagraphFont"/>
    <w:uiPriority w:val="99"/>
    <w:rPr>
      <w:color w:val="605E5C"/>
      <w:shd w:val="clear" w:color="auto" w:fill="E1DFDD"/>
    </w:r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eksku">
    <w:name w:val="Teksku"/>
    <w:basedOn w:val="Normal"/>
    <w:qFormat/>
    <w:pPr>
      <w:autoSpaceDE w:val="0"/>
      <w:autoSpaceDN w:val="0"/>
      <w:adjustRightInd w:val="0"/>
      <w:spacing w:after="0" w:line="240" w:lineRule="auto"/>
      <w:ind w:firstLine="567"/>
      <w:jc w:val="both"/>
    </w:pPr>
    <w:rPr>
      <w:rFonts w:ascii="Times New Roman" w:hAnsi="Times New Roman" w:cs="Times New Roman"/>
      <w:sz w:val="24"/>
      <w:szCs w:val="24"/>
      <w:shd w:val="clear" w:color="auto" w:fill="FFFFFF"/>
      <w:lang w:val="id-ID"/>
    </w:rPr>
  </w:style>
  <w:style w:type="paragraph" w:customStyle="1" w:styleId="Judulnya">
    <w:name w:val="Judulnya"/>
    <w:basedOn w:val="Normal"/>
    <w:qFormat/>
    <w:pPr>
      <w:autoSpaceDE w:val="0"/>
      <w:autoSpaceDN w:val="0"/>
      <w:adjustRightInd w:val="0"/>
      <w:spacing w:after="0" w:line="240" w:lineRule="auto"/>
      <w:jc w:val="both"/>
    </w:pPr>
    <w:rPr>
      <w:rFonts w:ascii="Times New Roman" w:hAnsi="Times New Roman" w:cs="Times New Roman"/>
      <w:b/>
      <w:sz w:val="24"/>
      <w:szCs w:val="24"/>
    </w:rPr>
  </w:style>
  <w:style w:type="character" w:customStyle="1" w:styleId="Heading2Char">
    <w:name w:val="Heading 2 Char"/>
    <w:basedOn w:val="DefaultParagraphFont"/>
    <w:link w:val="Heading2"/>
    <w:uiPriority w:val="9"/>
    <w:qFormat/>
    <w:rPr>
      <w:rFonts w:ascii="Cambria" w:eastAsia="SimSun" w:hAnsi="Cambria" w:cs="Times New Roman"/>
      <w:color w:val="365F91"/>
      <w:sz w:val="26"/>
      <w:szCs w:val="26"/>
    </w:rPr>
  </w:style>
  <w:style w:type="character" w:customStyle="1" w:styleId="ListParagraphChar">
    <w:name w:val="List Paragraph Char"/>
    <w:aliases w:val="Body of text Char,Title Proposal Char,sub-section Char,Body of text+1 Char,Body of text+2 Char,Body of text+3 Char,Colorful List - Accent 11 Char,Colorful List - Accent 111 Char,HEADING 1 Char,Heading 10 Char,Heading 11 Char,r Char"/>
    <w:basedOn w:val="DefaultParagraphFont"/>
    <w:link w:val="ListParagraph"/>
    <w:uiPriority w:val="99"/>
    <w:qFormat/>
  </w:style>
  <w:style w:type="paragraph" w:customStyle="1" w:styleId="root-block-node">
    <w:name w:val="root-block-nod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underline">
    <w:name w:val="red-underline"/>
    <w:basedOn w:val="DefaultParagraphFont"/>
  </w:style>
  <w:style w:type="character" w:customStyle="1" w:styleId="blue-underline">
    <w:name w:val="blue-underline"/>
    <w:basedOn w:val="DefaultParagraphFont"/>
  </w:style>
  <w:style w:type="paragraph" w:styleId="Bibliography">
    <w:name w:val="Bibliography"/>
    <w:basedOn w:val="Normal"/>
    <w:next w:val="Normal"/>
    <w:uiPriority w:val="37"/>
  </w:style>
  <w:style w:type="paragraph" w:styleId="BodyText">
    <w:name w:val="Body Text"/>
    <w:basedOn w:val="Normal"/>
    <w:link w:val="BodyTextChar"/>
    <w:uiPriority w:val="1"/>
    <w:qFormat/>
    <w:pPr>
      <w:widowControl w:val="0"/>
      <w:autoSpaceDE w:val="0"/>
      <w:autoSpaceDN w:val="0"/>
      <w:spacing w:after="120" w:line="240" w:lineRule="auto"/>
      <w:ind w:firstLine="720"/>
      <w:jc w:val="both"/>
    </w:pPr>
    <w:rPr>
      <w:rFonts w:ascii="Times New Roman" w:eastAsia="Times New Roman" w:hAnsi="Times New Roman" w:cs="Times New Roman"/>
      <w:sz w:val="24"/>
      <w:szCs w:val="24"/>
      <w:lang w:val="tr-TR" w:eastAsia="tr-TR" w:bidi="tr-TR"/>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tr-TR" w:eastAsia="tr-TR" w:bidi="tr-TR"/>
    </w:rPr>
  </w:style>
  <w:style w:type="character" w:customStyle="1" w:styleId="Heading3Char">
    <w:name w:val="Heading 3 Char"/>
    <w:basedOn w:val="DefaultParagraphFont"/>
    <w:link w:val="Heading3"/>
    <w:uiPriority w:val="9"/>
    <w:rPr>
      <w:rFonts w:ascii="Calibri" w:eastAsia="Calibri" w:hAnsi="Calibri" w:cs="Calibri"/>
      <w:b/>
      <w:sz w:val="28"/>
      <w:szCs w:val="28"/>
      <w:lang w:eastAsia="id-ID"/>
    </w:rPr>
  </w:style>
  <w:style w:type="character" w:customStyle="1" w:styleId="Heading4Char">
    <w:name w:val="Heading 4 Char"/>
    <w:basedOn w:val="DefaultParagraphFont"/>
    <w:link w:val="Heading4"/>
    <w:uiPriority w:val="9"/>
    <w:rPr>
      <w:rFonts w:ascii="Calibri" w:eastAsia="Calibri" w:hAnsi="Calibri" w:cs="Calibri"/>
      <w:b/>
      <w:sz w:val="24"/>
      <w:szCs w:val="24"/>
      <w:lang w:eastAsia="id-ID"/>
    </w:rPr>
  </w:style>
  <w:style w:type="character" w:customStyle="1" w:styleId="Heading5Char">
    <w:name w:val="Heading 5 Char"/>
    <w:basedOn w:val="DefaultParagraphFont"/>
    <w:link w:val="Heading5"/>
    <w:rPr>
      <w:rFonts w:ascii="Calibri" w:eastAsia="Calibri" w:hAnsi="Calibri" w:cs="Calibri"/>
      <w:b/>
      <w:lang w:eastAsia="id-ID"/>
    </w:rPr>
  </w:style>
  <w:style w:type="table" w:customStyle="1" w:styleId="TableGridLight1">
    <w:name w:val="Table Grid Light1"/>
    <w:basedOn w:val="TableNormal"/>
    <w:uiPriority w:val="4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uiPriority w:val="46"/>
    <w:pPr>
      <w:spacing w:after="0" w:line="240" w:lineRule="auto"/>
    </w:pPr>
    <w:tblPr>
      <w:tblStyleRowBandSize w:val="1"/>
      <w:tblStyleColBandSize w:val="1"/>
      <w:tblBorders>
        <w:top w:val="double" w:sz="4" w:space="0" w:color="auto"/>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nresolvedMention21">
    <w:name w:val="Unresolved Mention21"/>
    <w:basedOn w:val="DefaultParagraphFont"/>
    <w:uiPriority w:val="99"/>
    <w:rPr>
      <w:color w:val="605E5C"/>
      <w:shd w:val="clear" w:color="auto" w:fill="E1DFDD"/>
    </w:rPr>
  </w:style>
  <w:style w:type="paragraph" w:customStyle="1" w:styleId="Normal1">
    <w:name w:val="Normal1"/>
    <w:qFormat/>
    <w:rPr>
      <w:rFonts w:eastAsia="SimSun" w:cs="Calibri"/>
      <w:lang w:eastAsia="id-ID"/>
    </w:rPr>
  </w:style>
  <w:style w:type="character" w:customStyle="1" w:styleId="UnresolvedMention3">
    <w:name w:val="Unresolved Mention3"/>
    <w:basedOn w:val="DefaultParagraphFont"/>
    <w:uiPriority w:val="99"/>
    <w:rPr>
      <w:color w:val="605E5C"/>
      <w:shd w:val="clear" w:color="auto" w:fill="E1DFDD"/>
    </w:rPr>
  </w:style>
  <w:style w:type="table" w:customStyle="1" w:styleId="Table3">
    <w:name w:val="Table3"/>
    <w:basedOn w:val="TableNormal"/>
    <w:pPr>
      <w:spacing w:after="0" w:line="240" w:lineRule="auto"/>
      <w:jc w:val="both"/>
    </w:pPr>
    <w:rPr>
      <w:rFonts w:ascii="Times New Roman" w:eastAsia="Times New Roman" w:hAnsi="Times New Roman" w:cs="Times New Roman"/>
      <w:sz w:val="24"/>
      <w:szCs w:val="24"/>
      <w:lang w:eastAsia="id-ID"/>
    </w:rPr>
    <w:tblPr>
      <w:tblStyleRowBandSize w:val="1"/>
      <w:tblStyleColBandSize w:val="1"/>
      <w:tblCellMar>
        <w:left w:w="115" w:type="dxa"/>
        <w:right w:w="115" w:type="dxa"/>
      </w:tblCellMar>
    </w:tblPr>
  </w:style>
  <w:style w:type="table" w:customStyle="1" w:styleId="Table4">
    <w:name w:val="Table4"/>
    <w:basedOn w:val="TableNormal"/>
    <w:pPr>
      <w:spacing w:after="0" w:line="240" w:lineRule="auto"/>
      <w:jc w:val="both"/>
    </w:pPr>
    <w:rPr>
      <w:rFonts w:ascii="Times New Roman" w:eastAsia="Times New Roman" w:hAnsi="Times New Roman" w:cs="Times New Roman"/>
      <w:color w:val="000000"/>
      <w:sz w:val="24"/>
      <w:szCs w:val="24"/>
      <w:lang w:eastAsia="id-ID"/>
    </w:rPr>
    <w:tblPr>
      <w:tblStyleRowBandSize w:val="1"/>
      <w:tblStyleColBandSize w:val="1"/>
    </w:tblPr>
  </w:style>
  <w:style w:type="table" w:customStyle="1" w:styleId="Table7">
    <w:name w:val="Table7"/>
    <w:basedOn w:val="TableNormal"/>
    <w:pPr>
      <w:spacing w:after="0" w:line="240" w:lineRule="auto"/>
      <w:jc w:val="both"/>
    </w:pPr>
    <w:rPr>
      <w:rFonts w:ascii="Times New Roman" w:eastAsia="Times New Roman" w:hAnsi="Times New Roman" w:cs="Times New Roman"/>
      <w:sz w:val="24"/>
      <w:szCs w:val="24"/>
      <w:lang w:eastAsia="id-ID"/>
    </w:rPr>
    <w:tblPr>
      <w:tblStyleRowBandSize w:val="1"/>
      <w:tblStyleColBandSize w:val="1"/>
      <w:tblCellMar>
        <w:left w:w="115" w:type="dxa"/>
        <w:right w:w="115" w:type="dxa"/>
      </w:tblCellMar>
    </w:tblPr>
  </w:style>
  <w:style w:type="table" w:customStyle="1" w:styleId="Table5">
    <w:name w:val="Table5"/>
    <w:basedOn w:val="TableNormal"/>
    <w:pPr>
      <w:spacing w:after="0" w:line="240" w:lineRule="auto"/>
      <w:jc w:val="both"/>
    </w:pPr>
    <w:rPr>
      <w:rFonts w:ascii="Times New Roman" w:eastAsia="Times New Roman" w:hAnsi="Times New Roman" w:cs="Times New Roman"/>
      <w:sz w:val="24"/>
      <w:szCs w:val="24"/>
      <w:lang w:eastAsia="id-ID"/>
    </w:rPr>
    <w:tblPr>
      <w:tblStyleRowBandSize w:val="1"/>
      <w:tblStyleColBandSize w:val="1"/>
      <w:tblCellMar>
        <w:left w:w="115" w:type="dxa"/>
        <w:right w:w="115" w:type="dxa"/>
      </w:tblCellMar>
    </w:tblPr>
  </w:style>
  <w:style w:type="table" w:customStyle="1" w:styleId="Table6">
    <w:name w:val="Table6"/>
    <w:basedOn w:val="TableNormal"/>
    <w:pPr>
      <w:spacing w:after="0" w:line="240" w:lineRule="auto"/>
      <w:jc w:val="both"/>
    </w:pPr>
    <w:rPr>
      <w:rFonts w:ascii="Times New Roman" w:eastAsia="Times New Roman" w:hAnsi="Times New Roman" w:cs="Times New Roman"/>
      <w:sz w:val="24"/>
      <w:szCs w:val="24"/>
      <w:lang w:eastAsia="id-ID"/>
    </w:rPr>
    <w:tblPr>
      <w:tblStyleRowBandSize w:val="1"/>
      <w:tblStyleColBandSize w:val="1"/>
      <w:tblCellMar>
        <w:left w:w="115" w:type="dxa"/>
        <w:right w:w="115" w:type="dxa"/>
      </w:tblCellMar>
    </w:tblPr>
  </w:style>
  <w:style w:type="paragraph" w:customStyle="1" w:styleId="Heading30">
    <w:name w:val="Heading 3_0"/>
    <w:basedOn w:val="Normal"/>
    <w:next w:val="Normal"/>
    <w:uiPriority w:val="9"/>
    <w:qFormat/>
    <w:pPr>
      <w:keepNext/>
      <w:keepLines/>
      <w:spacing w:after="0" w:line="240" w:lineRule="auto"/>
      <w:jc w:val="both"/>
      <w:outlineLvl w:val="2"/>
    </w:pPr>
    <w:rPr>
      <w:rFonts w:ascii="Times New Roman" w:eastAsia="SimSun" w:hAnsi="Times New Roman" w:cs="Times New Roman"/>
      <w:i/>
      <w:sz w:val="24"/>
      <w:szCs w:val="24"/>
      <w:lang w:eastAsia="id-ID"/>
    </w:rPr>
  </w:style>
  <w:style w:type="paragraph" w:customStyle="1" w:styleId="Heading20">
    <w:name w:val="Heading 2_0"/>
    <w:basedOn w:val="Normal"/>
    <w:next w:val="Normal"/>
    <w:uiPriority w:val="9"/>
    <w:qFormat/>
    <w:pPr>
      <w:keepNext/>
      <w:keepLines/>
      <w:spacing w:after="0" w:line="240" w:lineRule="auto"/>
      <w:jc w:val="both"/>
      <w:outlineLvl w:val="1"/>
    </w:pPr>
    <w:rPr>
      <w:rFonts w:ascii="Times New Roman" w:eastAsia="SimSun" w:hAnsi="Times New Roman" w:cs="Times New Roman"/>
      <w:b/>
      <w:sz w:val="24"/>
      <w:szCs w:val="26"/>
      <w:lang w:eastAsia="id-ID"/>
    </w:rPr>
  </w:style>
  <w:style w:type="table" w:customStyle="1" w:styleId="Table8">
    <w:name w:val="Table8"/>
    <w:basedOn w:val="TableNormal"/>
    <w:pPr>
      <w:spacing w:after="0" w:line="240" w:lineRule="auto"/>
      <w:jc w:val="both"/>
    </w:pPr>
    <w:rPr>
      <w:rFonts w:ascii="Times New Roman" w:eastAsia="Times New Roman" w:hAnsi="Times New Roman" w:cs="Times New Roman"/>
      <w:sz w:val="24"/>
      <w:szCs w:val="24"/>
      <w:lang w:eastAsia="id-ID"/>
    </w:rPr>
    <w:tblPr>
      <w:tblStyleRowBandSize w:val="1"/>
      <w:tblStyleColBandSize w:val="1"/>
      <w:tblCellMar>
        <w:left w:w="115" w:type="dxa"/>
        <w:right w:w="115" w:type="dxa"/>
      </w:tblCellMar>
    </w:tblPr>
  </w:style>
  <w:style w:type="table" w:customStyle="1" w:styleId="Table9">
    <w:name w:val="Table9"/>
    <w:basedOn w:val="TableNormal"/>
    <w:pPr>
      <w:spacing w:after="0" w:line="240" w:lineRule="auto"/>
      <w:jc w:val="both"/>
    </w:pPr>
    <w:rPr>
      <w:rFonts w:ascii="Times New Roman" w:eastAsia="Times New Roman" w:hAnsi="Times New Roman" w:cs="Times New Roman"/>
      <w:sz w:val="24"/>
      <w:szCs w:val="24"/>
      <w:lang w:eastAsia="id-ID"/>
    </w:rPr>
    <w:tblPr>
      <w:tblStyleRowBandSize w:val="1"/>
      <w:tblStyleColBandSize w:val="1"/>
      <w:tblCellMar>
        <w:left w:w="115" w:type="dxa"/>
        <w:right w:w="115" w:type="dxa"/>
      </w:tblCellMar>
    </w:tbl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lang w:eastAsia="id-ID"/>
    </w:rPr>
  </w:style>
  <w:style w:type="character" w:customStyle="1" w:styleId="SubtitleChar">
    <w:name w:val="Subtitle Char"/>
    <w:basedOn w:val="DefaultParagraphFont"/>
    <w:link w:val="Subtitle"/>
    <w:rPr>
      <w:rFonts w:ascii="Georgia" w:eastAsia="Georgia" w:hAnsi="Georgia" w:cs="Georgia"/>
      <w:i/>
      <w:color w:val="666666"/>
      <w:sz w:val="48"/>
      <w:szCs w:val="48"/>
      <w:lang w:eastAsia="id-ID"/>
    </w:rPr>
  </w:style>
  <w:style w:type="character" w:customStyle="1" w:styleId="A2">
    <w:name w:val="A2"/>
    <w:uiPriority w:val="99"/>
    <w:rPr>
      <w:rFonts w:cs="Bookman Old Style"/>
      <w:color w:val="000000"/>
      <w:sz w:val="18"/>
      <w:szCs w:val="18"/>
    </w:rPr>
  </w:style>
  <w:style w:type="character" w:customStyle="1" w:styleId="doilabel">
    <w:name w:val="doi__label"/>
    <w:basedOn w:val="DefaultParagraphFont"/>
  </w:style>
  <w:style w:type="paragraph" w:customStyle="1" w:styleId="Table">
    <w:name w:val="Table"/>
    <w:qFormat/>
    <w:pPr>
      <w:widowControl w:val="0"/>
      <w:spacing w:after="0" w:line="240" w:lineRule="auto"/>
    </w:pPr>
    <w:rPr>
      <w:rFonts w:ascii="Liberation Serif" w:eastAsia="Noto Sans CJK SC Regular" w:hAnsi="Liberation Serif" w:cs="FreeSans"/>
      <w:sz w:val="24"/>
      <w:szCs w:val="24"/>
      <w:lang w:eastAsia="zh-CN" w:bidi="hi-IN"/>
    </w:rPr>
  </w:style>
  <w:style w:type="paragraph" w:styleId="Caption">
    <w:name w:val="caption"/>
    <w:basedOn w:val="Normal"/>
    <w:next w:val="Table"/>
    <w:uiPriority w:val="35"/>
    <w:qFormat/>
    <w:pPr>
      <w:widowControl w:val="0"/>
      <w:spacing w:after="0" w:line="220" w:lineRule="exact"/>
      <w:ind w:firstLine="301"/>
    </w:pPr>
    <w:rPr>
      <w:rFonts w:ascii="Liberation Serif" w:eastAsia="Noto Sans CJK SC Regular" w:hAnsi="Liberation Serif" w:cs="FreeSans"/>
      <w:color w:val="00000A"/>
      <w:sz w:val="24"/>
      <w:szCs w:val="24"/>
      <w:lang w:eastAsia="zh-CN" w:bidi="hi-IN"/>
    </w:rPr>
  </w:style>
  <w:style w:type="character" w:customStyle="1" w:styleId="fontstyle01">
    <w:name w:val="fontstyle01"/>
    <w:basedOn w:val="DefaultParagraphFont"/>
    <w:rPr>
      <w:rFonts w:ascii="Times New Roman" w:hAnsi="Times New Roman" w:cs="Times New Roman" w:hint="default"/>
      <w:b w:val="0"/>
      <w:bCs w:val="0"/>
      <w:i/>
      <w:iCs/>
      <w:color w:val="000000"/>
      <w:sz w:val="22"/>
      <w:szCs w:val="22"/>
    </w:rPr>
  </w:style>
  <w:style w:type="character" w:customStyle="1" w:styleId="StrongEmphasis">
    <w:name w:val="Strong Emphasis"/>
    <w:qFormat/>
    <w:rPr>
      <w:b/>
      <w:bCs/>
    </w:rPr>
  </w:style>
  <w:style w:type="table" w:customStyle="1" w:styleId="a0">
    <w:name w:val="a0"/>
    <w:basedOn w:val="TableNormal"/>
    <w:pPr>
      <w:spacing w:after="0" w:line="240" w:lineRule="auto"/>
    </w:pPr>
    <w:rPr>
      <w:rFonts w:ascii="Times New Roman" w:eastAsia="Times New Roman" w:hAnsi="Times New Roman" w:cs="Times New Roman"/>
      <w:sz w:val="24"/>
      <w:szCs w:val="24"/>
      <w:lang w:val="en-ID"/>
    </w:rPr>
    <w:tblPr>
      <w:tblStyleRowBandSize w:val="1"/>
      <w:tblStyleColBandSize w:val="1"/>
    </w:tblPr>
  </w:style>
  <w:style w:type="table" w:customStyle="1" w:styleId="a1">
    <w:name w:val="a1"/>
    <w:basedOn w:val="TableNormal"/>
    <w:pPr>
      <w:spacing w:after="0" w:line="240" w:lineRule="auto"/>
    </w:pPr>
    <w:rPr>
      <w:rFonts w:ascii="Times New Roman" w:eastAsia="Times New Roman" w:hAnsi="Times New Roman" w:cs="Times New Roman"/>
      <w:sz w:val="24"/>
      <w:szCs w:val="24"/>
      <w:lang w:val="en-ID"/>
    </w:rPr>
    <w:tblPr>
      <w:tblStyleRowBandSize w:val="1"/>
      <w:tblStyleColBandSize w:val="1"/>
      <w:tblCellMar>
        <w:left w:w="0" w:type="dxa"/>
        <w:right w:w="0" w:type="dxa"/>
      </w:tblCellMar>
    </w:tblPr>
  </w:style>
  <w:style w:type="table" w:customStyle="1" w:styleId="a20">
    <w:name w:val="a2"/>
    <w:basedOn w:val="TableNormal"/>
    <w:pPr>
      <w:spacing w:after="0" w:line="240" w:lineRule="auto"/>
    </w:pPr>
    <w:rPr>
      <w:rFonts w:ascii="Times New Roman" w:eastAsia="Times New Roman" w:hAnsi="Times New Roman" w:cs="Times New Roman"/>
      <w:sz w:val="24"/>
      <w:szCs w:val="24"/>
      <w:lang w:val="en-ID"/>
    </w:rPr>
    <w:tblPr>
      <w:tblStyleRowBandSize w:val="1"/>
      <w:tblStyleColBandSize w:val="1"/>
    </w:tblPr>
  </w:style>
  <w:style w:type="table" w:customStyle="1" w:styleId="a6">
    <w:name w:val="a6"/>
    <w:basedOn w:val="TableNormal"/>
    <w:pPr>
      <w:spacing w:after="0" w:line="240" w:lineRule="auto"/>
    </w:pPr>
    <w:rPr>
      <w:rFonts w:ascii="Times New Roman" w:eastAsia="Times New Roman" w:hAnsi="Times New Roman" w:cs="Times New Roman"/>
      <w:sz w:val="24"/>
      <w:szCs w:val="24"/>
      <w:lang w:val="en-ID"/>
    </w:rPr>
    <w:tblPr>
      <w:tblStyleRowBandSize w:val="1"/>
      <w:tblStyleColBandSize w:val="1"/>
      <w:tblCellMar>
        <w:left w:w="0" w:type="dxa"/>
        <w:right w:w="0" w:type="dxa"/>
      </w:tblCellMar>
    </w:tblPr>
  </w:style>
  <w:style w:type="table" w:customStyle="1" w:styleId="a7">
    <w:name w:val="a7"/>
    <w:basedOn w:val="TableNormal"/>
    <w:pPr>
      <w:spacing w:after="0" w:line="240" w:lineRule="auto"/>
    </w:pPr>
    <w:rPr>
      <w:rFonts w:ascii="Times New Roman" w:eastAsia="Times New Roman" w:hAnsi="Times New Roman" w:cs="Times New Roman"/>
      <w:sz w:val="24"/>
      <w:szCs w:val="24"/>
      <w:lang w:val="en-ID"/>
    </w:rPr>
    <w:tblPr>
      <w:tblStyleRowBandSize w:val="1"/>
      <w:tblStyleColBandSize w:val="1"/>
    </w:tblPr>
  </w:style>
  <w:style w:type="table" w:customStyle="1" w:styleId="a8">
    <w:name w:val="a8"/>
    <w:basedOn w:val="TableNormal"/>
    <w:pPr>
      <w:spacing w:after="0" w:line="240" w:lineRule="auto"/>
    </w:pPr>
    <w:rPr>
      <w:rFonts w:ascii="Times New Roman" w:eastAsia="Times New Roman" w:hAnsi="Times New Roman" w:cs="Times New Roman"/>
      <w:sz w:val="24"/>
      <w:szCs w:val="24"/>
      <w:lang w:val="en-ID"/>
    </w:rPr>
    <w:tblPr>
      <w:tblStyleRowBandSize w:val="1"/>
      <w:tblStyleColBandSize w:val="1"/>
      <w:tblCellMar>
        <w:left w:w="43" w:type="dxa"/>
        <w:right w:w="43" w:type="dxa"/>
      </w:tblCellMar>
    </w:tblPr>
  </w:style>
  <w:style w:type="character" w:customStyle="1" w:styleId="value">
    <w:name w:val="value"/>
    <w:basedOn w:val="DefaultParagraphFont"/>
  </w:style>
  <w:style w:type="paragraph" w:customStyle="1" w:styleId="normal10">
    <w:name w:val="normal1"/>
    <w:qFormat/>
    <w:rPr>
      <w:rFonts w:cs="Calibri"/>
      <w:lang w:val="id-ID" w:eastAsia="id-ID"/>
    </w:rPr>
  </w:style>
  <w:style w:type="table" w:customStyle="1" w:styleId="PlainTable211">
    <w:name w:val="Plain Table 211"/>
    <w:basedOn w:val="TableNormal"/>
    <w:uiPriority w:val="42"/>
    <w:pPr>
      <w:spacing w:after="0" w:line="240" w:lineRule="auto"/>
    </w:pPr>
    <w:rPr>
      <w:rFonts w:cs="SimSun"/>
      <w:lang w:val="en-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4">
    <w:name w:val="Unresolved Mention4"/>
    <w:basedOn w:val="DefaultParagraphFont"/>
    <w:uiPriority w:val="99"/>
    <w:rPr>
      <w:color w:val="605E5C"/>
      <w:shd w:val="clear" w:color="auto" w:fill="E1DFDD"/>
    </w:rPr>
  </w:style>
  <w:style w:type="character" w:customStyle="1" w:styleId="UnresolvedMention5">
    <w:name w:val="Unresolved Mention5"/>
    <w:basedOn w:val="DefaultParagraphFont"/>
    <w:uiPriority w:val="99"/>
    <w:rPr>
      <w:color w:val="605E5C"/>
      <w:shd w:val="clear" w:color="auto" w:fill="E1DFDD"/>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ID" w:eastAsia="en-ID"/>
    </w:rPr>
  </w:style>
  <w:style w:type="paragraph" w:customStyle="1" w:styleId="Abstract">
    <w:name w:val="Abstract"/>
    <w:pPr>
      <w:spacing w:before="20" w:line="240" w:lineRule="auto"/>
      <w:jc w:val="both"/>
    </w:pPr>
    <w:rPr>
      <w:rFonts w:ascii="Times New Roman" w:eastAsia="Times New Roman" w:hAnsi="Times New Roman" w:cs="Times New Roman"/>
      <w:bCs/>
      <w:i/>
      <w:sz w:val="20"/>
      <w:szCs w:val="18"/>
    </w:rPr>
  </w:style>
  <w:style w:type="character" w:customStyle="1" w:styleId="jlqj4b">
    <w:name w:val="jlqj4b"/>
    <w:basedOn w:val="DefaultParagraphFont"/>
    <w:qFormat/>
  </w:style>
  <w:style w:type="character" w:customStyle="1" w:styleId="UnresolvedMention6">
    <w:name w:val="Unresolved Mention6"/>
    <w:basedOn w:val="DefaultParagraphFont"/>
    <w:uiPriority w:val="99"/>
    <w:semiHidden/>
    <w:unhideWhenUsed/>
    <w:rsid w:val="00DA5D72"/>
    <w:rPr>
      <w:color w:val="605E5C"/>
      <w:shd w:val="clear" w:color="auto" w:fill="E1DFDD"/>
    </w:rPr>
  </w:style>
  <w:style w:type="paragraph" w:customStyle="1" w:styleId="Normal-Para1shj">
    <w:name w:val="Normal-Para 1 shj"/>
    <w:basedOn w:val="Normal"/>
    <w:next w:val="Normal"/>
    <w:autoRedefine/>
    <w:uiPriority w:val="99"/>
    <w:qFormat/>
    <w:rsid w:val="007543A0"/>
    <w:pPr>
      <w:spacing w:after="0" w:line="480" w:lineRule="auto"/>
      <w:jc w:val="both"/>
    </w:pPr>
    <w:rPr>
      <w:rFonts w:ascii="Times New Roman" w:eastAsia="SimSun" w:hAnsi="Times New Roman" w:cs="Times New Roman"/>
      <w:iCs/>
      <w:sz w:val="24"/>
      <w:szCs w:val="24"/>
      <w:lang w:val="en-GB"/>
    </w:rPr>
  </w:style>
  <w:style w:type="paragraph" w:customStyle="1" w:styleId="Style3">
    <w:name w:val="Style3"/>
    <w:basedOn w:val="Normal"/>
    <w:qFormat/>
    <w:rsid w:val="0006667E"/>
    <w:pPr>
      <w:spacing w:before="80" w:after="0" w:line="240" w:lineRule="auto"/>
      <w:jc w:val="center"/>
    </w:pPr>
    <w:rPr>
      <w:rFonts w:ascii="Times New Roman" w:eastAsia="Times New Roman" w:hAnsi="Times New Roman" w:cs="Times New Roman"/>
      <w:b/>
      <w:noProof/>
      <w:sz w:val="16"/>
      <w:szCs w:val="16"/>
    </w:rPr>
  </w:style>
  <w:style w:type="character" w:customStyle="1" w:styleId="black">
    <w:name w:val="black"/>
    <w:basedOn w:val="DefaultParagraphFont"/>
    <w:rsid w:val="00E21C46"/>
  </w:style>
  <w:style w:type="character" w:customStyle="1" w:styleId="referenceperson-group">
    <w:name w:val="reference__person-group"/>
    <w:basedOn w:val="DefaultParagraphFont"/>
    <w:rsid w:val="00E21C46"/>
  </w:style>
  <w:style w:type="character" w:customStyle="1" w:styleId="referencestring-name">
    <w:name w:val="reference__string-name"/>
    <w:basedOn w:val="DefaultParagraphFont"/>
    <w:rsid w:val="00E21C46"/>
  </w:style>
  <w:style w:type="character" w:customStyle="1" w:styleId="referencesurname">
    <w:name w:val="reference__surname"/>
    <w:basedOn w:val="DefaultParagraphFont"/>
    <w:rsid w:val="00E21C46"/>
  </w:style>
  <w:style w:type="character" w:customStyle="1" w:styleId="referencegiven-names">
    <w:name w:val="reference__given-names"/>
    <w:basedOn w:val="DefaultParagraphFont"/>
    <w:rsid w:val="00E21C46"/>
  </w:style>
  <w:style w:type="character" w:customStyle="1" w:styleId="referenceyear">
    <w:name w:val="reference__year"/>
    <w:basedOn w:val="DefaultParagraphFont"/>
    <w:rsid w:val="00E21C46"/>
  </w:style>
  <w:style w:type="character" w:customStyle="1" w:styleId="referencearticle-title">
    <w:name w:val="reference__article-title"/>
    <w:basedOn w:val="DefaultParagraphFont"/>
    <w:rsid w:val="00E21C46"/>
  </w:style>
  <w:style w:type="character" w:customStyle="1" w:styleId="y2iqfc">
    <w:name w:val="y2iqfc"/>
    <w:basedOn w:val="DefaultParagraphFont"/>
    <w:rsid w:val="00CB47C2"/>
  </w:style>
  <w:style w:type="paragraph" w:customStyle="1" w:styleId="Bibliography3f30008e-965b-4e3a-bc6a-dc479d3118e4">
    <w:name w:val="Bibliography_3f30008e-965b-4e3a-bc6a-dc479d3118e4"/>
    <w:basedOn w:val="Normal"/>
    <w:next w:val="Normal"/>
    <w:uiPriority w:val="37"/>
    <w:rsid w:val="007A372A"/>
    <w:pPr>
      <w:spacing w:after="0" w:line="220" w:lineRule="exact"/>
      <w:ind w:firstLine="301"/>
      <w:jc w:val="both"/>
    </w:pPr>
    <w:rPr>
      <w:rFonts w:ascii="Times New Roman" w:eastAsia="Times New Roman" w:hAnsi="Times New Roman" w:cs="Times New Roman"/>
      <w:color w:val="00000A"/>
      <w:sz w:val="20"/>
      <w:szCs w:val="20"/>
      <w:lang w:val="en-GB" w:eastAsia="zh-CN"/>
    </w:rPr>
  </w:style>
  <w:style w:type="table" w:customStyle="1" w:styleId="TableGrid1">
    <w:name w:val="Table Grid1"/>
    <w:basedOn w:val="TableNormal"/>
    <w:next w:val="TableGrid"/>
    <w:uiPriority w:val="39"/>
    <w:rsid w:val="00DF619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D5062"/>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7">
    <w:name w:val="Unresolved Mention7"/>
    <w:basedOn w:val="DefaultParagraphFont"/>
    <w:uiPriority w:val="99"/>
    <w:semiHidden/>
    <w:unhideWhenUsed/>
    <w:rsid w:val="005A6594"/>
    <w:rPr>
      <w:color w:val="605E5C"/>
      <w:shd w:val="clear" w:color="auto" w:fill="E1DFDD"/>
    </w:rPr>
  </w:style>
  <w:style w:type="paragraph" w:customStyle="1" w:styleId="ListParagraph2">
    <w:name w:val="List Paragraph2"/>
    <w:basedOn w:val="Normal"/>
    <w:uiPriority w:val="99"/>
    <w:unhideWhenUsed/>
    <w:qFormat/>
    <w:rsid w:val="003C5791"/>
    <w:pPr>
      <w:ind w:left="720"/>
      <w:contextualSpacing/>
    </w:pPr>
    <w:rPr>
      <w:rFonts w:asciiTheme="minorHAnsi" w:eastAsiaTheme="minorHAnsi" w:hAnsiTheme="minorHAnsi" w:cstheme="minorBidi"/>
      <w:lang w:val="id-ID"/>
    </w:rPr>
  </w:style>
  <w:style w:type="paragraph" w:customStyle="1" w:styleId="ListParagraph1">
    <w:name w:val="List Paragraph1"/>
    <w:basedOn w:val="Normal"/>
    <w:uiPriority w:val="34"/>
    <w:qFormat/>
    <w:rsid w:val="003C5791"/>
    <w:pPr>
      <w:ind w:left="720"/>
      <w:contextualSpacing/>
    </w:pPr>
    <w:rPr>
      <w:rFonts w:asciiTheme="minorHAnsi" w:eastAsiaTheme="minorHAnsi" w:hAnsiTheme="minorHAnsi" w:cstheme="minorBidi"/>
      <w:lang w:val="id-ID"/>
    </w:rPr>
  </w:style>
  <w:style w:type="character" w:styleId="PlaceholderText">
    <w:name w:val="Placeholder Text"/>
    <w:basedOn w:val="DefaultParagraphFont"/>
    <w:uiPriority w:val="99"/>
    <w:rsid w:val="003C5791"/>
    <w:rPr>
      <w:color w:val="808080"/>
    </w:rPr>
  </w:style>
  <w:style w:type="paragraph" w:customStyle="1" w:styleId="lead">
    <w:name w:val="lead"/>
    <w:basedOn w:val="Normal"/>
    <w:rsid w:val="003C57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3C5791"/>
    <w:rPr>
      <w:rFonts w:eastAsia="SimSun"/>
      <w:lang w:val="id-ID"/>
    </w:rPr>
  </w:style>
  <w:style w:type="character" w:customStyle="1" w:styleId="ls0">
    <w:name w:val="ls0"/>
    <w:basedOn w:val="DefaultParagraphFont"/>
    <w:rsid w:val="003C5791"/>
  </w:style>
  <w:style w:type="character" w:customStyle="1" w:styleId="ls2">
    <w:name w:val="ls2"/>
    <w:basedOn w:val="DefaultParagraphFont"/>
    <w:rsid w:val="003C5791"/>
  </w:style>
  <w:style w:type="character" w:customStyle="1" w:styleId="ws1">
    <w:name w:val="ws1"/>
    <w:basedOn w:val="DefaultParagraphFont"/>
    <w:rsid w:val="003C5791"/>
  </w:style>
  <w:style w:type="character" w:customStyle="1" w:styleId="ls7">
    <w:name w:val="ls7"/>
    <w:basedOn w:val="DefaultParagraphFont"/>
    <w:rsid w:val="003C5791"/>
  </w:style>
  <w:style w:type="paragraph" w:customStyle="1" w:styleId="Pa1">
    <w:name w:val="Pa1"/>
    <w:basedOn w:val="Default"/>
    <w:next w:val="Default"/>
    <w:uiPriority w:val="99"/>
    <w:rsid w:val="003C5791"/>
    <w:pPr>
      <w:spacing w:line="241" w:lineRule="atLeast"/>
    </w:pPr>
    <w:rPr>
      <w:rFonts w:ascii="Adobe Garamond Pro" w:eastAsiaTheme="minorHAnsi" w:hAnsi="Adobe Garamond Pro" w:cstheme="minorBidi"/>
      <w:color w:val="auto"/>
    </w:rPr>
  </w:style>
  <w:style w:type="character" w:customStyle="1" w:styleId="A60">
    <w:name w:val="A6"/>
    <w:uiPriority w:val="99"/>
    <w:rsid w:val="003C5791"/>
    <w:rPr>
      <w:rFonts w:cs="Adobe Garamond Pro"/>
      <w:color w:val="000000"/>
      <w:sz w:val="16"/>
      <w:szCs w:val="16"/>
    </w:rPr>
  </w:style>
  <w:style w:type="character" w:customStyle="1" w:styleId="name2">
    <w:name w:val="name2"/>
    <w:basedOn w:val="DefaultParagraphFont"/>
    <w:rsid w:val="003C5791"/>
  </w:style>
  <w:style w:type="character" w:customStyle="1" w:styleId="affiliation">
    <w:name w:val="affiliation"/>
    <w:basedOn w:val="DefaultParagraphFont"/>
    <w:rsid w:val="003C5791"/>
  </w:style>
  <w:style w:type="character" w:customStyle="1" w:styleId="name">
    <w:name w:val="name"/>
    <w:basedOn w:val="DefaultParagraphFont"/>
    <w:rsid w:val="003C5791"/>
  </w:style>
  <w:style w:type="character" w:customStyle="1" w:styleId="A00">
    <w:name w:val="A0"/>
    <w:uiPriority w:val="99"/>
    <w:rsid w:val="00802C21"/>
    <w:rPr>
      <w:color w:val="000000"/>
      <w:sz w:val="22"/>
      <w:szCs w:val="22"/>
    </w:rPr>
  </w:style>
  <w:style w:type="table" w:customStyle="1" w:styleId="TableGrid2">
    <w:name w:val="Table Grid2"/>
    <w:basedOn w:val="TableNormal"/>
    <w:next w:val="TableGrid"/>
    <w:uiPriority w:val="39"/>
    <w:rsid w:val="0008433E"/>
    <w:pPr>
      <w:spacing w:after="0" w:line="240" w:lineRule="auto"/>
    </w:pPr>
    <w:rPr>
      <w:rFonts w:asciiTheme="minorHAnsi" w:eastAsiaTheme="minorHAnsi" w:hAnsiTheme="minorHAnsi" w:cstheme="minorBid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semiHidden/>
    <w:unhideWhenUsed/>
    <w:rsid w:val="0078690D"/>
    <w:rPr>
      <w:color w:val="605E5C"/>
      <w:shd w:val="clear" w:color="auto" w:fill="E1DFDD"/>
    </w:rPr>
  </w:style>
  <w:style w:type="character" w:customStyle="1" w:styleId="UnresolvedMention9">
    <w:name w:val="Unresolved Mention9"/>
    <w:basedOn w:val="DefaultParagraphFont"/>
    <w:uiPriority w:val="99"/>
    <w:semiHidden/>
    <w:unhideWhenUsed/>
    <w:rsid w:val="007D15BB"/>
    <w:rPr>
      <w:color w:val="605E5C"/>
      <w:shd w:val="clear" w:color="auto" w:fill="E1DFDD"/>
    </w:rPr>
  </w:style>
  <w:style w:type="character" w:customStyle="1" w:styleId="apple-style-span">
    <w:name w:val="apple-style-span"/>
    <w:basedOn w:val="DefaultParagraphFont"/>
    <w:rsid w:val="000B4D36"/>
  </w:style>
  <w:style w:type="character" w:styleId="UnresolvedMention">
    <w:name w:val="Unresolved Mention"/>
    <w:basedOn w:val="DefaultParagraphFont"/>
    <w:uiPriority w:val="99"/>
    <w:semiHidden/>
    <w:unhideWhenUsed/>
    <w:rsid w:val="002E46C2"/>
    <w:rPr>
      <w:color w:val="605E5C"/>
      <w:shd w:val="clear" w:color="auto" w:fill="E1DFDD"/>
    </w:rPr>
  </w:style>
  <w:style w:type="table" w:customStyle="1" w:styleId="GridTable5Dark-Accent31">
    <w:name w:val="Grid Table 5 Dark - Accent 31"/>
    <w:basedOn w:val="TableNormal"/>
    <w:uiPriority w:val="50"/>
    <w:qFormat/>
    <w:rsid w:val="009754FB"/>
    <w:pPr>
      <w:spacing w:after="0" w:line="240" w:lineRule="auto"/>
    </w:pPr>
    <w:rPr>
      <w:rFonts w:asciiTheme="minorHAnsi" w:eastAsiaTheme="minorHAnsi" w:hAnsiTheme="minorHAnsi" w:cstheme="minorBidi"/>
      <w:sz w:val="20"/>
      <w:szCs w:val="20"/>
      <w:lang w:val="en-ID" w:eastAsia="en-ID"/>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PlainTable2">
    <w:name w:val="Plain Table 2"/>
    <w:basedOn w:val="TableNormal"/>
    <w:uiPriority w:val="42"/>
    <w:rsid w:val="00D11AA8"/>
    <w:pPr>
      <w:widowControl w:val="0"/>
      <w:autoSpaceDE w:val="0"/>
      <w:autoSpaceDN w:val="0"/>
      <w:spacing w:after="0" w:line="240" w:lineRule="auto"/>
    </w:pPr>
    <w:rPr>
      <w:rFonts w:asciiTheme="minorHAnsi" w:eastAsiaTheme="minorHAnsi" w:hAnsi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rful">
    <w:name w:val="List Table 6 Colorful"/>
    <w:basedOn w:val="TableNormal"/>
    <w:uiPriority w:val="51"/>
    <w:rsid w:val="009960E6"/>
    <w:pPr>
      <w:spacing w:after="0" w:line="240" w:lineRule="auto"/>
    </w:pPr>
    <w:rPr>
      <w:rFonts w:asciiTheme="minorHAnsi" w:eastAsia="Times New Roman" w:hAnsiTheme="minorHAnsi" w:cstheme="minorHAnsi"/>
      <w:color w:val="000000" w:themeColor="text1"/>
      <w:lang w:val="id-ID" w:eastAsia="id-ID"/>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Shading-Accent3">
    <w:name w:val="Light Shading Accent 3"/>
    <w:basedOn w:val="TableNormal"/>
    <w:uiPriority w:val="60"/>
    <w:rsid w:val="009960E6"/>
    <w:pPr>
      <w:spacing w:after="0" w:line="240" w:lineRule="auto"/>
    </w:pPr>
    <w:rPr>
      <w:rFonts w:asciiTheme="minorHAnsi" w:eastAsia="Times New Roman" w:hAnsiTheme="minorHAnsi" w:cs="Calibri"/>
      <w:color w:val="76923C" w:themeColor="accent3" w:themeShade="BF"/>
      <w:lang w:val="id-ID" w:eastAsia="id-ID"/>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Calibr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Calibr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hemeFill="accent3" w:themeFillTint="3F"/>
      </w:tcPr>
    </w:tblStylePr>
    <w:tblStylePr w:type="band1Horz">
      <w:rPr>
        <w:rFonts w:cs="Calibri"/>
      </w:rPr>
      <w:tblPr/>
      <w:tcPr>
        <w:tcBorders>
          <w:left w:val="nil"/>
          <w:right w:val="nil"/>
          <w:insideH w:val="nil"/>
          <w:insideV w:val="nil"/>
        </w:tcBorders>
        <w:shd w:val="clear" w:color="auto" w:fill="E6EED5" w:themeFill="accent3" w:themeFillTint="3F"/>
      </w:tcPr>
    </w:tblStylePr>
  </w:style>
  <w:style w:type="paragraph" w:customStyle="1" w:styleId="01Judul">
    <w:name w:val="01. Judul"/>
    <w:basedOn w:val="Heading1"/>
    <w:link w:val="01JudulChar"/>
    <w:qFormat/>
    <w:rsid w:val="009960E6"/>
    <w:pPr>
      <w:spacing w:before="1000" w:after="400" w:line="240" w:lineRule="auto"/>
      <w:jc w:val="center"/>
    </w:pPr>
    <w:rPr>
      <w:rFonts w:ascii="Arno Pro" w:eastAsia="Times New Roman" w:hAnsi="Arno Pro"/>
      <w:bCs w:val="0"/>
      <w:color w:val="auto"/>
      <w:kern w:val="28"/>
      <w:lang w:val="en-US"/>
    </w:rPr>
  </w:style>
  <w:style w:type="character" w:customStyle="1" w:styleId="01JudulChar">
    <w:name w:val="01. Judul Char"/>
    <w:link w:val="01Judul"/>
    <w:rsid w:val="009960E6"/>
    <w:rPr>
      <w:rFonts w:ascii="Arno Pro" w:eastAsia="Times New Roman" w:hAnsi="Arno Pro" w:cs="Times New Roman"/>
      <w:b/>
      <w:kern w:val="28"/>
      <w:sz w:val="28"/>
      <w:szCs w:val="28"/>
    </w:rPr>
  </w:style>
  <w:style w:type="paragraph" w:customStyle="1" w:styleId="061IsiAbstrakIndoneia">
    <w:name w:val="06.1 Isi Abstrak Indoneia"/>
    <w:basedOn w:val="Normal"/>
    <w:link w:val="061IsiAbstrakIndoneiaChar"/>
    <w:qFormat/>
    <w:rsid w:val="009960E6"/>
    <w:pPr>
      <w:spacing w:after="120" w:line="240" w:lineRule="auto"/>
      <w:ind w:left="680" w:right="680"/>
      <w:jc w:val="both"/>
    </w:pPr>
    <w:rPr>
      <w:rFonts w:ascii="Arno Pro" w:eastAsia="Times New Roman" w:hAnsi="Arno Pro" w:cs="Times New Roman"/>
      <w:color w:val="000000"/>
      <w:kern w:val="28"/>
      <w:sz w:val="24"/>
      <w:szCs w:val="24"/>
      <w:lang w:val="en-GB"/>
    </w:rPr>
  </w:style>
  <w:style w:type="character" w:customStyle="1" w:styleId="061IsiAbstrakIndoneiaChar">
    <w:name w:val="06.1 Isi Abstrak Indoneia Char"/>
    <w:link w:val="061IsiAbstrakIndoneia"/>
    <w:rsid w:val="009960E6"/>
    <w:rPr>
      <w:rFonts w:ascii="Arno Pro" w:eastAsia="Times New Roman" w:hAnsi="Arno Pro" w:cs="Times New Roman"/>
      <w:color w:val="000000"/>
      <w:kern w:val="28"/>
      <w:sz w:val="24"/>
      <w:szCs w:val="24"/>
      <w:lang w:val="en-GB"/>
    </w:rPr>
  </w:style>
  <w:style w:type="table" w:customStyle="1" w:styleId="KisiTabel1">
    <w:name w:val="Kisi Tabel1"/>
    <w:basedOn w:val="TableNormal"/>
    <w:next w:val="TableGrid"/>
    <w:uiPriority w:val="39"/>
    <w:rsid w:val="009960E6"/>
    <w:pPr>
      <w:spacing w:after="0" w:line="240" w:lineRule="auto"/>
    </w:pPr>
    <w:rPr>
      <w:rFonts w:asciiTheme="minorHAnsi" w:hAnsiTheme="minorHAns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1">
    <w:name w:val="List Table 1 Light Accent 1"/>
    <w:basedOn w:val="TableNormal"/>
    <w:uiPriority w:val="46"/>
    <w:rsid w:val="009960E6"/>
    <w:pPr>
      <w:spacing w:after="0" w:line="240" w:lineRule="auto"/>
    </w:pPr>
    <w:rPr>
      <w:rFonts w:asciiTheme="minorHAnsi" w:eastAsia="Times New Roman" w:hAnsiTheme="minorHAnsi" w:cstheme="minorHAnsi"/>
      <w:lang w:val="id-ID" w:eastAsia="id-ID"/>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cimalAligned">
    <w:name w:val="Decimal Aligned"/>
    <w:basedOn w:val="Normal"/>
    <w:uiPriority w:val="40"/>
    <w:qFormat/>
    <w:rsid w:val="009960E6"/>
    <w:pPr>
      <w:tabs>
        <w:tab w:val="decimal" w:pos="360"/>
      </w:tabs>
    </w:pPr>
    <w:rPr>
      <w:rFonts w:asciiTheme="minorHAnsi" w:eastAsiaTheme="minorEastAsia" w:hAnsiTheme="minorHAnsi" w:cs="Times New Roman"/>
      <w:lang w:val="en-ID" w:eastAsia="en-ID"/>
    </w:rPr>
  </w:style>
  <w:style w:type="character" w:styleId="SubtleEmphasis">
    <w:name w:val="Subtle Emphasis"/>
    <w:basedOn w:val="DefaultParagraphFont"/>
    <w:uiPriority w:val="19"/>
    <w:qFormat/>
    <w:rsid w:val="009960E6"/>
    <w:rPr>
      <w:i/>
      <w:iCs/>
    </w:rPr>
  </w:style>
  <w:style w:type="table" w:styleId="LightShading-Accent1">
    <w:name w:val="Light Shading Accent 1"/>
    <w:basedOn w:val="TableNormal"/>
    <w:uiPriority w:val="60"/>
    <w:rsid w:val="009960E6"/>
    <w:pPr>
      <w:spacing w:after="0" w:line="240" w:lineRule="auto"/>
    </w:pPr>
    <w:rPr>
      <w:rFonts w:asciiTheme="minorHAnsi" w:eastAsiaTheme="minorEastAsia" w:hAnsiTheme="minorHAnsi" w:cstheme="minorBidi"/>
      <w:color w:val="365F91" w:themeColor="accent1" w:themeShade="BF"/>
      <w:lang w:val="en-ID" w:eastAsia="en-ID"/>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Table2">
    <w:name w:val="List Table 2"/>
    <w:basedOn w:val="TableNormal"/>
    <w:uiPriority w:val="47"/>
    <w:rsid w:val="009960E6"/>
    <w:pPr>
      <w:spacing w:after="0" w:line="240" w:lineRule="auto"/>
    </w:pPr>
    <w:rPr>
      <w:rFonts w:asciiTheme="minorHAnsi" w:eastAsia="Times New Roman" w:hAnsiTheme="minorHAnsi" w:cstheme="minorHAnsi"/>
      <w:lang w:val="id-ID" w:eastAsia="id-ID"/>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9960E6"/>
    <w:pPr>
      <w:spacing w:after="0" w:line="240" w:lineRule="auto"/>
    </w:pPr>
    <w:rPr>
      <w:rFonts w:asciiTheme="minorHAnsi" w:eastAsia="Times New Roman" w:hAnsiTheme="minorHAnsi"/>
    </w:rPr>
  </w:style>
  <w:style w:type="table" w:customStyle="1" w:styleId="PlainTable213">
    <w:name w:val="Plain Table 213"/>
    <w:basedOn w:val="TableNormal"/>
    <w:uiPriority w:val="42"/>
    <w:rsid w:val="004262C5"/>
    <w:pPr>
      <w:spacing w:after="0" w:line="240" w:lineRule="auto"/>
    </w:pPr>
    <w:rPr>
      <w:rFonts w:cs="Times New Roman"/>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24">
      <w:bodyDiv w:val="1"/>
      <w:marLeft w:val="0"/>
      <w:marRight w:val="0"/>
      <w:marTop w:val="0"/>
      <w:marBottom w:val="0"/>
      <w:divBdr>
        <w:top w:val="none" w:sz="0" w:space="0" w:color="auto"/>
        <w:left w:val="none" w:sz="0" w:space="0" w:color="auto"/>
        <w:bottom w:val="none" w:sz="0" w:space="0" w:color="auto"/>
        <w:right w:val="none" w:sz="0" w:space="0" w:color="auto"/>
      </w:divBdr>
    </w:div>
    <w:div w:id="1443333">
      <w:bodyDiv w:val="1"/>
      <w:marLeft w:val="0"/>
      <w:marRight w:val="0"/>
      <w:marTop w:val="0"/>
      <w:marBottom w:val="0"/>
      <w:divBdr>
        <w:top w:val="none" w:sz="0" w:space="0" w:color="auto"/>
        <w:left w:val="none" w:sz="0" w:space="0" w:color="auto"/>
        <w:bottom w:val="none" w:sz="0" w:space="0" w:color="auto"/>
        <w:right w:val="none" w:sz="0" w:space="0" w:color="auto"/>
      </w:divBdr>
    </w:div>
    <w:div w:id="2516636">
      <w:bodyDiv w:val="1"/>
      <w:marLeft w:val="0"/>
      <w:marRight w:val="0"/>
      <w:marTop w:val="0"/>
      <w:marBottom w:val="0"/>
      <w:divBdr>
        <w:top w:val="none" w:sz="0" w:space="0" w:color="auto"/>
        <w:left w:val="none" w:sz="0" w:space="0" w:color="auto"/>
        <w:bottom w:val="none" w:sz="0" w:space="0" w:color="auto"/>
        <w:right w:val="none" w:sz="0" w:space="0" w:color="auto"/>
      </w:divBdr>
    </w:div>
    <w:div w:id="2903185">
      <w:bodyDiv w:val="1"/>
      <w:marLeft w:val="0"/>
      <w:marRight w:val="0"/>
      <w:marTop w:val="0"/>
      <w:marBottom w:val="0"/>
      <w:divBdr>
        <w:top w:val="none" w:sz="0" w:space="0" w:color="auto"/>
        <w:left w:val="none" w:sz="0" w:space="0" w:color="auto"/>
        <w:bottom w:val="none" w:sz="0" w:space="0" w:color="auto"/>
        <w:right w:val="none" w:sz="0" w:space="0" w:color="auto"/>
      </w:divBdr>
    </w:div>
    <w:div w:id="3628569">
      <w:bodyDiv w:val="1"/>
      <w:marLeft w:val="0"/>
      <w:marRight w:val="0"/>
      <w:marTop w:val="0"/>
      <w:marBottom w:val="0"/>
      <w:divBdr>
        <w:top w:val="none" w:sz="0" w:space="0" w:color="auto"/>
        <w:left w:val="none" w:sz="0" w:space="0" w:color="auto"/>
        <w:bottom w:val="none" w:sz="0" w:space="0" w:color="auto"/>
        <w:right w:val="none" w:sz="0" w:space="0" w:color="auto"/>
      </w:divBdr>
    </w:div>
    <w:div w:id="5250047">
      <w:bodyDiv w:val="1"/>
      <w:marLeft w:val="0"/>
      <w:marRight w:val="0"/>
      <w:marTop w:val="0"/>
      <w:marBottom w:val="0"/>
      <w:divBdr>
        <w:top w:val="none" w:sz="0" w:space="0" w:color="auto"/>
        <w:left w:val="none" w:sz="0" w:space="0" w:color="auto"/>
        <w:bottom w:val="none" w:sz="0" w:space="0" w:color="auto"/>
        <w:right w:val="none" w:sz="0" w:space="0" w:color="auto"/>
      </w:divBdr>
    </w:div>
    <w:div w:id="10376953">
      <w:bodyDiv w:val="1"/>
      <w:marLeft w:val="0"/>
      <w:marRight w:val="0"/>
      <w:marTop w:val="0"/>
      <w:marBottom w:val="0"/>
      <w:divBdr>
        <w:top w:val="none" w:sz="0" w:space="0" w:color="auto"/>
        <w:left w:val="none" w:sz="0" w:space="0" w:color="auto"/>
        <w:bottom w:val="none" w:sz="0" w:space="0" w:color="auto"/>
        <w:right w:val="none" w:sz="0" w:space="0" w:color="auto"/>
      </w:divBdr>
    </w:div>
    <w:div w:id="12418893">
      <w:bodyDiv w:val="1"/>
      <w:marLeft w:val="0"/>
      <w:marRight w:val="0"/>
      <w:marTop w:val="0"/>
      <w:marBottom w:val="0"/>
      <w:divBdr>
        <w:top w:val="none" w:sz="0" w:space="0" w:color="auto"/>
        <w:left w:val="none" w:sz="0" w:space="0" w:color="auto"/>
        <w:bottom w:val="none" w:sz="0" w:space="0" w:color="auto"/>
        <w:right w:val="none" w:sz="0" w:space="0" w:color="auto"/>
      </w:divBdr>
    </w:div>
    <w:div w:id="12462050">
      <w:bodyDiv w:val="1"/>
      <w:marLeft w:val="0"/>
      <w:marRight w:val="0"/>
      <w:marTop w:val="0"/>
      <w:marBottom w:val="0"/>
      <w:divBdr>
        <w:top w:val="none" w:sz="0" w:space="0" w:color="auto"/>
        <w:left w:val="none" w:sz="0" w:space="0" w:color="auto"/>
        <w:bottom w:val="none" w:sz="0" w:space="0" w:color="auto"/>
        <w:right w:val="none" w:sz="0" w:space="0" w:color="auto"/>
      </w:divBdr>
    </w:div>
    <w:div w:id="16735327">
      <w:bodyDiv w:val="1"/>
      <w:marLeft w:val="0"/>
      <w:marRight w:val="0"/>
      <w:marTop w:val="0"/>
      <w:marBottom w:val="0"/>
      <w:divBdr>
        <w:top w:val="none" w:sz="0" w:space="0" w:color="auto"/>
        <w:left w:val="none" w:sz="0" w:space="0" w:color="auto"/>
        <w:bottom w:val="none" w:sz="0" w:space="0" w:color="auto"/>
        <w:right w:val="none" w:sz="0" w:space="0" w:color="auto"/>
      </w:divBdr>
    </w:div>
    <w:div w:id="17514702">
      <w:bodyDiv w:val="1"/>
      <w:marLeft w:val="0"/>
      <w:marRight w:val="0"/>
      <w:marTop w:val="0"/>
      <w:marBottom w:val="0"/>
      <w:divBdr>
        <w:top w:val="none" w:sz="0" w:space="0" w:color="auto"/>
        <w:left w:val="none" w:sz="0" w:space="0" w:color="auto"/>
        <w:bottom w:val="none" w:sz="0" w:space="0" w:color="auto"/>
        <w:right w:val="none" w:sz="0" w:space="0" w:color="auto"/>
      </w:divBdr>
    </w:div>
    <w:div w:id="17972564">
      <w:bodyDiv w:val="1"/>
      <w:marLeft w:val="0"/>
      <w:marRight w:val="0"/>
      <w:marTop w:val="0"/>
      <w:marBottom w:val="0"/>
      <w:divBdr>
        <w:top w:val="none" w:sz="0" w:space="0" w:color="auto"/>
        <w:left w:val="none" w:sz="0" w:space="0" w:color="auto"/>
        <w:bottom w:val="none" w:sz="0" w:space="0" w:color="auto"/>
        <w:right w:val="none" w:sz="0" w:space="0" w:color="auto"/>
      </w:divBdr>
    </w:div>
    <w:div w:id="18940295">
      <w:bodyDiv w:val="1"/>
      <w:marLeft w:val="0"/>
      <w:marRight w:val="0"/>
      <w:marTop w:val="0"/>
      <w:marBottom w:val="0"/>
      <w:divBdr>
        <w:top w:val="none" w:sz="0" w:space="0" w:color="auto"/>
        <w:left w:val="none" w:sz="0" w:space="0" w:color="auto"/>
        <w:bottom w:val="none" w:sz="0" w:space="0" w:color="auto"/>
        <w:right w:val="none" w:sz="0" w:space="0" w:color="auto"/>
      </w:divBdr>
    </w:div>
    <w:div w:id="19472966">
      <w:bodyDiv w:val="1"/>
      <w:marLeft w:val="0"/>
      <w:marRight w:val="0"/>
      <w:marTop w:val="0"/>
      <w:marBottom w:val="0"/>
      <w:divBdr>
        <w:top w:val="none" w:sz="0" w:space="0" w:color="auto"/>
        <w:left w:val="none" w:sz="0" w:space="0" w:color="auto"/>
        <w:bottom w:val="none" w:sz="0" w:space="0" w:color="auto"/>
        <w:right w:val="none" w:sz="0" w:space="0" w:color="auto"/>
      </w:divBdr>
    </w:div>
    <w:div w:id="21059378">
      <w:bodyDiv w:val="1"/>
      <w:marLeft w:val="0"/>
      <w:marRight w:val="0"/>
      <w:marTop w:val="0"/>
      <w:marBottom w:val="0"/>
      <w:divBdr>
        <w:top w:val="none" w:sz="0" w:space="0" w:color="auto"/>
        <w:left w:val="none" w:sz="0" w:space="0" w:color="auto"/>
        <w:bottom w:val="none" w:sz="0" w:space="0" w:color="auto"/>
        <w:right w:val="none" w:sz="0" w:space="0" w:color="auto"/>
      </w:divBdr>
    </w:div>
    <w:div w:id="23557439">
      <w:bodyDiv w:val="1"/>
      <w:marLeft w:val="0"/>
      <w:marRight w:val="0"/>
      <w:marTop w:val="0"/>
      <w:marBottom w:val="0"/>
      <w:divBdr>
        <w:top w:val="none" w:sz="0" w:space="0" w:color="auto"/>
        <w:left w:val="none" w:sz="0" w:space="0" w:color="auto"/>
        <w:bottom w:val="none" w:sz="0" w:space="0" w:color="auto"/>
        <w:right w:val="none" w:sz="0" w:space="0" w:color="auto"/>
      </w:divBdr>
    </w:div>
    <w:div w:id="24335302">
      <w:bodyDiv w:val="1"/>
      <w:marLeft w:val="0"/>
      <w:marRight w:val="0"/>
      <w:marTop w:val="0"/>
      <w:marBottom w:val="0"/>
      <w:divBdr>
        <w:top w:val="none" w:sz="0" w:space="0" w:color="auto"/>
        <w:left w:val="none" w:sz="0" w:space="0" w:color="auto"/>
        <w:bottom w:val="none" w:sz="0" w:space="0" w:color="auto"/>
        <w:right w:val="none" w:sz="0" w:space="0" w:color="auto"/>
      </w:divBdr>
    </w:div>
    <w:div w:id="26150252">
      <w:bodyDiv w:val="1"/>
      <w:marLeft w:val="0"/>
      <w:marRight w:val="0"/>
      <w:marTop w:val="0"/>
      <w:marBottom w:val="0"/>
      <w:divBdr>
        <w:top w:val="none" w:sz="0" w:space="0" w:color="auto"/>
        <w:left w:val="none" w:sz="0" w:space="0" w:color="auto"/>
        <w:bottom w:val="none" w:sz="0" w:space="0" w:color="auto"/>
        <w:right w:val="none" w:sz="0" w:space="0" w:color="auto"/>
      </w:divBdr>
    </w:div>
    <w:div w:id="27686927">
      <w:bodyDiv w:val="1"/>
      <w:marLeft w:val="0"/>
      <w:marRight w:val="0"/>
      <w:marTop w:val="0"/>
      <w:marBottom w:val="0"/>
      <w:divBdr>
        <w:top w:val="none" w:sz="0" w:space="0" w:color="auto"/>
        <w:left w:val="none" w:sz="0" w:space="0" w:color="auto"/>
        <w:bottom w:val="none" w:sz="0" w:space="0" w:color="auto"/>
        <w:right w:val="none" w:sz="0" w:space="0" w:color="auto"/>
      </w:divBdr>
    </w:div>
    <w:div w:id="32536783">
      <w:bodyDiv w:val="1"/>
      <w:marLeft w:val="0"/>
      <w:marRight w:val="0"/>
      <w:marTop w:val="0"/>
      <w:marBottom w:val="0"/>
      <w:divBdr>
        <w:top w:val="none" w:sz="0" w:space="0" w:color="auto"/>
        <w:left w:val="none" w:sz="0" w:space="0" w:color="auto"/>
        <w:bottom w:val="none" w:sz="0" w:space="0" w:color="auto"/>
        <w:right w:val="none" w:sz="0" w:space="0" w:color="auto"/>
      </w:divBdr>
    </w:div>
    <w:div w:id="34737683">
      <w:bodyDiv w:val="1"/>
      <w:marLeft w:val="0"/>
      <w:marRight w:val="0"/>
      <w:marTop w:val="0"/>
      <w:marBottom w:val="0"/>
      <w:divBdr>
        <w:top w:val="none" w:sz="0" w:space="0" w:color="auto"/>
        <w:left w:val="none" w:sz="0" w:space="0" w:color="auto"/>
        <w:bottom w:val="none" w:sz="0" w:space="0" w:color="auto"/>
        <w:right w:val="none" w:sz="0" w:space="0" w:color="auto"/>
      </w:divBdr>
    </w:div>
    <w:div w:id="34815774">
      <w:bodyDiv w:val="1"/>
      <w:marLeft w:val="0"/>
      <w:marRight w:val="0"/>
      <w:marTop w:val="0"/>
      <w:marBottom w:val="0"/>
      <w:divBdr>
        <w:top w:val="none" w:sz="0" w:space="0" w:color="auto"/>
        <w:left w:val="none" w:sz="0" w:space="0" w:color="auto"/>
        <w:bottom w:val="none" w:sz="0" w:space="0" w:color="auto"/>
        <w:right w:val="none" w:sz="0" w:space="0" w:color="auto"/>
      </w:divBdr>
    </w:div>
    <w:div w:id="35200361">
      <w:bodyDiv w:val="1"/>
      <w:marLeft w:val="0"/>
      <w:marRight w:val="0"/>
      <w:marTop w:val="0"/>
      <w:marBottom w:val="0"/>
      <w:divBdr>
        <w:top w:val="none" w:sz="0" w:space="0" w:color="auto"/>
        <w:left w:val="none" w:sz="0" w:space="0" w:color="auto"/>
        <w:bottom w:val="none" w:sz="0" w:space="0" w:color="auto"/>
        <w:right w:val="none" w:sz="0" w:space="0" w:color="auto"/>
      </w:divBdr>
    </w:div>
    <w:div w:id="36392862">
      <w:bodyDiv w:val="1"/>
      <w:marLeft w:val="0"/>
      <w:marRight w:val="0"/>
      <w:marTop w:val="0"/>
      <w:marBottom w:val="0"/>
      <w:divBdr>
        <w:top w:val="none" w:sz="0" w:space="0" w:color="auto"/>
        <w:left w:val="none" w:sz="0" w:space="0" w:color="auto"/>
        <w:bottom w:val="none" w:sz="0" w:space="0" w:color="auto"/>
        <w:right w:val="none" w:sz="0" w:space="0" w:color="auto"/>
      </w:divBdr>
    </w:div>
    <w:div w:id="37781166">
      <w:bodyDiv w:val="1"/>
      <w:marLeft w:val="0"/>
      <w:marRight w:val="0"/>
      <w:marTop w:val="0"/>
      <w:marBottom w:val="0"/>
      <w:divBdr>
        <w:top w:val="none" w:sz="0" w:space="0" w:color="auto"/>
        <w:left w:val="none" w:sz="0" w:space="0" w:color="auto"/>
        <w:bottom w:val="none" w:sz="0" w:space="0" w:color="auto"/>
        <w:right w:val="none" w:sz="0" w:space="0" w:color="auto"/>
      </w:divBdr>
    </w:div>
    <w:div w:id="39323774">
      <w:bodyDiv w:val="1"/>
      <w:marLeft w:val="0"/>
      <w:marRight w:val="0"/>
      <w:marTop w:val="0"/>
      <w:marBottom w:val="0"/>
      <w:divBdr>
        <w:top w:val="none" w:sz="0" w:space="0" w:color="auto"/>
        <w:left w:val="none" w:sz="0" w:space="0" w:color="auto"/>
        <w:bottom w:val="none" w:sz="0" w:space="0" w:color="auto"/>
        <w:right w:val="none" w:sz="0" w:space="0" w:color="auto"/>
      </w:divBdr>
    </w:div>
    <w:div w:id="40180730">
      <w:bodyDiv w:val="1"/>
      <w:marLeft w:val="0"/>
      <w:marRight w:val="0"/>
      <w:marTop w:val="0"/>
      <w:marBottom w:val="0"/>
      <w:divBdr>
        <w:top w:val="none" w:sz="0" w:space="0" w:color="auto"/>
        <w:left w:val="none" w:sz="0" w:space="0" w:color="auto"/>
        <w:bottom w:val="none" w:sz="0" w:space="0" w:color="auto"/>
        <w:right w:val="none" w:sz="0" w:space="0" w:color="auto"/>
      </w:divBdr>
    </w:div>
    <w:div w:id="41174923">
      <w:bodyDiv w:val="1"/>
      <w:marLeft w:val="0"/>
      <w:marRight w:val="0"/>
      <w:marTop w:val="0"/>
      <w:marBottom w:val="0"/>
      <w:divBdr>
        <w:top w:val="none" w:sz="0" w:space="0" w:color="auto"/>
        <w:left w:val="none" w:sz="0" w:space="0" w:color="auto"/>
        <w:bottom w:val="none" w:sz="0" w:space="0" w:color="auto"/>
        <w:right w:val="none" w:sz="0" w:space="0" w:color="auto"/>
      </w:divBdr>
    </w:div>
    <w:div w:id="41830219">
      <w:bodyDiv w:val="1"/>
      <w:marLeft w:val="0"/>
      <w:marRight w:val="0"/>
      <w:marTop w:val="0"/>
      <w:marBottom w:val="0"/>
      <w:divBdr>
        <w:top w:val="none" w:sz="0" w:space="0" w:color="auto"/>
        <w:left w:val="none" w:sz="0" w:space="0" w:color="auto"/>
        <w:bottom w:val="none" w:sz="0" w:space="0" w:color="auto"/>
        <w:right w:val="none" w:sz="0" w:space="0" w:color="auto"/>
      </w:divBdr>
    </w:div>
    <w:div w:id="43798326">
      <w:bodyDiv w:val="1"/>
      <w:marLeft w:val="0"/>
      <w:marRight w:val="0"/>
      <w:marTop w:val="0"/>
      <w:marBottom w:val="0"/>
      <w:divBdr>
        <w:top w:val="none" w:sz="0" w:space="0" w:color="auto"/>
        <w:left w:val="none" w:sz="0" w:space="0" w:color="auto"/>
        <w:bottom w:val="none" w:sz="0" w:space="0" w:color="auto"/>
        <w:right w:val="none" w:sz="0" w:space="0" w:color="auto"/>
      </w:divBdr>
    </w:div>
    <w:div w:id="52235376">
      <w:bodyDiv w:val="1"/>
      <w:marLeft w:val="0"/>
      <w:marRight w:val="0"/>
      <w:marTop w:val="0"/>
      <w:marBottom w:val="0"/>
      <w:divBdr>
        <w:top w:val="none" w:sz="0" w:space="0" w:color="auto"/>
        <w:left w:val="none" w:sz="0" w:space="0" w:color="auto"/>
        <w:bottom w:val="none" w:sz="0" w:space="0" w:color="auto"/>
        <w:right w:val="none" w:sz="0" w:space="0" w:color="auto"/>
      </w:divBdr>
    </w:div>
    <w:div w:id="52968919">
      <w:bodyDiv w:val="1"/>
      <w:marLeft w:val="0"/>
      <w:marRight w:val="0"/>
      <w:marTop w:val="0"/>
      <w:marBottom w:val="0"/>
      <w:divBdr>
        <w:top w:val="none" w:sz="0" w:space="0" w:color="auto"/>
        <w:left w:val="none" w:sz="0" w:space="0" w:color="auto"/>
        <w:bottom w:val="none" w:sz="0" w:space="0" w:color="auto"/>
        <w:right w:val="none" w:sz="0" w:space="0" w:color="auto"/>
      </w:divBdr>
    </w:div>
    <w:div w:id="54667369">
      <w:bodyDiv w:val="1"/>
      <w:marLeft w:val="0"/>
      <w:marRight w:val="0"/>
      <w:marTop w:val="0"/>
      <w:marBottom w:val="0"/>
      <w:divBdr>
        <w:top w:val="none" w:sz="0" w:space="0" w:color="auto"/>
        <w:left w:val="none" w:sz="0" w:space="0" w:color="auto"/>
        <w:bottom w:val="none" w:sz="0" w:space="0" w:color="auto"/>
        <w:right w:val="none" w:sz="0" w:space="0" w:color="auto"/>
      </w:divBdr>
    </w:div>
    <w:div w:id="56824991">
      <w:bodyDiv w:val="1"/>
      <w:marLeft w:val="0"/>
      <w:marRight w:val="0"/>
      <w:marTop w:val="0"/>
      <w:marBottom w:val="0"/>
      <w:divBdr>
        <w:top w:val="none" w:sz="0" w:space="0" w:color="auto"/>
        <w:left w:val="none" w:sz="0" w:space="0" w:color="auto"/>
        <w:bottom w:val="none" w:sz="0" w:space="0" w:color="auto"/>
        <w:right w:val="none" w:sz="0" w:space="0" w:color="auto"/>
      </w:divBdr>
    </w:div>
    <w:div w:id="57025022">
      <w:bodyDiv w:val="1"/>
      <w:marLeft w:val="0"/>
      <w:marRight w:val="0"/>
      <w:marTop w:val="0"/>
      <w:marBottom w:val="0"/>
      <w:divBdr>
        <w:top w:val="none" w:sz="0" w:space="0" w:color="auto"/>
        <w:left w:val="none" w:sz="0" w:space="0" w:color="auto"/>
        <w:bottom w:val="none" w:sz="0" w:space="0" w:color="auto"/>
        <w:right w:val="none" w:sz="0" w:space="0" w:color="auto"/>
      </w:divBdr>
    </w:div>
    <w:div w:id="57943162">
      <w:bodyDiv w:val="1"/>
      <w:marLeft w:val="0"/>
      <w:marRight w:val="0"/>
      <w:marTop w:val="0"/>
      <w:marBottom w:val="0"/>
      <w:divBdr>
        <w:top w:val="none" w:sz="0" w:space="0" w:color="auto"/>
        <w:left w:val="none" w:sz="0" w:space="0" w:color="auto"/>
        <w:bottom w:val="none" w:sz="0" w:space="0" w:color="auto"/>
        <w:right w:val="none" w:sz="0" w:space="0" w:color="auto"/>
      </w:divBdr>
    </w:div>
    <w:div w:id="58790019">
      <w:bodyDiv w:val="1"/>
      <w:marLeft w:val="0"/>
      <w:marRight w:val="0"/>
      <w:marTop w:val="0"/>
      <w:marBottom w:val="0"/>
      <w:divBdr>
        <w:top w:val="none" w:sz="0" w:space="0" w:color="auto"/>
        <w:left w:val="none" w:sz="0" w:space="0" w:color="auto"/>
        <w:bottom w:val="none" w:sz="0" w:space="0" w:color="auto"/>
        <w:right w:val="none" w:sz="0" w:space="0" w:color="auto"/>
      </w:divBdr>
    </w:div>
    <w:div w:id="59207385">
      <w:bodyDiv w:val="1"/>
      <w:marLeft w:val="0"/>
      <w:marRight w:val="0"/>
      <w:marTop w:val="0"/>
      <w:marBottom w:val="0"/>
      <w:divBdr>
        <w:top w:val="none" w:sz="0" w:space="0" w:color="auto"/>
        <w:left w:val="none" w:sz="0" w:space="0" w:color="auto"/>
        <w:bottom w:val="none" w:sz="0" w:space="0" w:color="auto"/>
        <w:right w:val="none" w:sz="0" w:space="0" w:color="auto"/>
      </w:divBdr>
    </w:div>
    <w:div w:id="59445936">
      <w:bodyDiv w:val="1"/>
      <w:marLeft w:val="0"/>
      <w:marRight w:val="0"/>
      <w:marTop w:val="0"/>
      <w:marBottom w:val="0"/>
      <w:divBdr>
        <w:top w:val="none" w:sz="0" w:space="0" w:color="auto"/>
        <w:left w:val="none" w:sz="0" w:space="0" w:color="auto"/>
        <w:bottom w:val="none" w:sz="0" w:space="0" w:color="auto"/>
        <w:right w:val="none" w:sz="0" w:space="0" w:color="auto"/>
      </w:divBdr>
    </w:div>
    <w:div w:id="62067998">
      <w:bodyDiv w:val="1"/>
      <w:marLeft w:val="0"/>
      <w:marRight w:val="0"/>
      <w:marTop w:val="0"/>
      <w:marBottom w:val="0"/>
      <w:divBdr>
        <w:top w:val="none" w:sz="0" w:space="0" w:color="auto"/>
        <w:left w:val="none" w:sz="0" w:space="0" w:color="auto"/>
        <w:bottom w:val="none" w:sz="0" w:space="0" w:color="auto"/>
        <w:right w:val="none" w:sz="0" w:space="0" w:color="auto"/>
      </w:divBdr>
    </w:div>
    <w:div w:id="62875877">
      <w:bodyDiv w:val="1"/>
      <w:marLeft w:val="0"/>
      <w:marRight w:val="0"/>
      <w:marTop w:val="0"/>
      <w:marBottom w:val="0"/>
      <w:divBdr>
        <w:top w:val="none" w:sz="0" w:space="0" w:color="auto"/>
        <w:left w:val="none" w:sz="0" w:space="0" w:color="auto"/>
        <w:bottom w:val="none" w:sz="0" w:space="0" w:color="auto"/>
        <w:right w:val="none" w:sz="0" w:space="0" w:color="auto"/>
      </w:divBdr>
    </w:div>
    <w:div w:id="64764976">
      <w:bodyDiv w:val="1"/>
      <w:marLeft w:val="0"/>
      <w:marRight w:val="0"/>
      <w:marTop w:val="0"/>
      <w:marBottom w:val="0"/>
      <w:divBdr>
        <w:top w:val="none" w:sz="0" w:space="0" w:color="auto"/>
        <w:left w:val="none" w:sz="0" w:space="0" w:color="auto"/>
        <w:bottom w:val="none" w:sz="0" w:space="0" w:color="auto"/>
        <w:right w:val="none" w:sz="0" w:space="0" w:color="auto"/>
      </w:divBdr>
    </w:div>
    <w:div w:id="66466556">
      <w:bodyDiv w:val="1"/>
      <w:marLeft w:val="0"/>
      <w:marRight w:val="0"/>
      <w:marTop w:val="0"/>
      <w:marBottom w:val="0"/>
      <w:divBdr>
        <w:top w:val="none" w:sz="0" w:space="0" w:color="auto"/>
        <w:left w:val="none" w:sz="0" w:space="0" w:color="auto"/>
        <w:bottom w:val="none" w:sz="0" w:space="0" w:color="auto"/>
        <w:right w:val="none" w:sz="0" w:space="0" w:color="auto"/>
      </w:divBdr>
    </w:div>
    <w:div w:id="66615489">
      <w:bodyDiv w:val="1"/>
      <w:marLeft w:val="0"/>
      <w:marRight w:val="0"/>
      <w:marTop w:val="0"/>
      <w:marBottom w:val="0"/>
      <w:divBdr>
        <w:top w:val="none" w:sz="0" w:space="0" w:color="auto"/>
        <w:left w:val="none" w:sz="0" w:space="0" w:color="auto"/>
        <w:bottom w:val="none" w:sz="0" w:space="0" w:color="auto"/>
        <w:right w:val="none" w:sz="0" w:space="0" w:color="auto"/>
      </w:divBdr>
    </w:div>
    <w:div w:id="68046070">
      <w:bodyDiv w:val="1"/>
      <w:marLeft w:val="0"/>
      <w:marRight w:val="0"/>
      <w:marTop w:val="0"/>
      <w:marBottom w:val="0"/>
      <w:divBdr>
        <w:top w:val="none" w:sz="0" w:space="0" w:color="auto"/>
        <w:left w:val="none" w:sz="0" w:space="0" w:color="auto"/>
        <w:bottom w:val="none" w:sz="0" w:space="0" w:color="auto"/>
        <w:right w:val="none" w:sz="0" w:space="0" w:color="auto"/>
      </w:divBdr>
    </w:div>
    <w:div w:id="68236365">
      <w:bodyDiv w:val="1"/>
      <w:marLeft w:val="0"/>
      <w:marRight w:val="0"/>
      <w:marTop w:val="0"/>
      <w:marBottom w:val="0"/>
      <w:divBdr>
        <w:top w:val="none" w:sz="0" w:space="0" w:color="auto"/>
        <w:left w:val="none" w:sz="0" w:space="0" w:color="auto"/>
        <w:bottom w:val="none" w:sz="0" w:space="0" w:color="auto"/>
        <w:right w:val="none" w:sz="0" w:space="0" w:color="auto"/>
      </w:divBdr>
    </w:div>
    <w:div w:id="69811682">
      <w:bodyDiv w:val="1"/>
      <w:marLeft w:val="0"/>
      <w:marRight w:val="0"/>
      <w:marTop w:val="0"/>
      <w:marBottom w:val="0"/>
      <w:divBdr>
        <w:top w:val="none" w:sz="0" w:space="0" w:color="auto"/>
        <w:left w:val="none" w:sz="0" w:space="0" w:color="auto"/>
        <w:bottom w:val="none" w:sz="0" w:space="0" w:color="auto"/>
        <w:right w:val="none" w:sz="0" w:space="0" w:color="auto"/>
      </w:divBdr>
    </w:div>
    <w:div w:id="71860197">
      <w:bodyDiv w:val="1"/>
      <w:marLeft w:val="0"/>
      <w:marRight w:val="0"/>
      <w:marTop w:val="0"/>
      <w:marBottom w:val="0"/>
      <w:divBdr>
        <w:top w:val="none" w:sz="0" w:space="0" w:color="auto"/>
        <w:left w:val="none" w:sz="0" w:space="0" w:color="auto"/>
        <w:bottom w:val="none" w:sz="0" w:space="0" w:color="auto"/>
        <w:right w:val="none" w:sz="0" w:space="0" w:color="auto"/>
      </w:divBdr>
    </w:div>
    <w:div w:id="72774987">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3868239">
      <w:bodyDiv w:val="1"/>
      <w:marLeft w:val="0"/>
      <w:marRight w:val="0"/>
      <w:marTop w:val="0"/>
      <w:marBottom w:val="0"/>
      <w:divBdr>
        <w:top w:val="none" w:sz="0" w:space="0" w:color="auto"/>
        <w:left w:val="none" w:sz="0" w:space="0" w:color="auto"/>
        <w:bottom w:val="none" w:sz="0" w:space="0" w:color="auto"/>
        <w:right w:val="none" w:sz="0" w:space="0" w:color="auto"/>
      </w:divBdr>
    </w:div>
    <w:div w:id="74936047">
      <w:bodyDiv w:val="1"/>
      <w:marLeft w:val="0"/>
      <w:marRight w:val="0"/>
      <w:marTop w:val="0"/>
      <w:marBottom w:val="0"/>
      <w:divBdr>
        <w:top w:val="none" w:sz="0" w:space="0" w:color="auto"/>
        <w:left w:val="none" w:sz="0" w:space="0" w:color="auto"/>
        <w:bottom w:val="none" w:sz="0" w:space="0" w:color="auto"/>
        <w:right w:val="none" w:sz="0" w:space="0" w:color="auto"/>
      </w:divBdr>
    </w:div>
    <w:div w:id="75640148">
      <w:bodyDiv w:val="1"/>
      <w:marLeft w:val="0"/>
      <w:marRight w:val="0"/>
      <w:marTop w:val="0"/>
      <w:marBottom w:val="0"/>
      <w:divBdr>
        <w:top w:val="none" w:sz="0" w:space="0" w:color="auto"/>
        <w:left w:val="none" w:sz="0" w:space="0" w:color="auto"/>
        <w:bottom w:val="none" w:sz="0" w:space="0" w:color="auto"/>
        <w:right w:val="none" w:sz="0" w:space="0" w:color="auto"/>
      </w:divBdr>
    </w:div>
    <w:div w:id="76289516">
      <w:bodyDiv w:val="1"/>
      <w:marLeft w:val="0"/>
      <w:marRight w:val="0"/>
      <w:marTop w:val="0"/>
      <w:marBottom w:val="0"/>
      <w:divBdr>
        <w:top w:val="none" w:sz="0" w:space="0" w:color="auto"/>
        <w:left w:val="none" w:sz="0" w:space="0" w:color="auto"/>
        <w:bottom w:val="none" w:sz="0" w:space="0" w:color="auto"/>
        <w:right w:val="none" w:sz="0" w:space="0" w:color="auto"/>
      </w:divBdr>
    </w:div>
    <w:div w:id="79377249">
      <w:bodyDiv w:val="1"/>
      <w:marLeft w:val="0"/>
      <w:marRight w:val="0"/>
      <w:marTop w:val="0"/>
      <w:marBottom w:val="0"/>
      <w:divBdr>
        <w:top w:val="none" w:sz="0" w:space="0" w:color="auto"/>
        <w:left w:val="none" w:sz="0" w:space="0" w:color="auto"/>
        <w:bottom w:val="none" w:sz="0" w:space="0" w:color="auto"/>
        <w:right w:val="none" w:sz="0" w:space="0" w:color="auto"/>
      </w:divBdr>
    </w:div>
    <w:div w:id="80028992">
      <w:bodyDiv w:val="1"/>
      <w:marLeft w:val="0"/>
      <w:marRight w:val="0"/>
      <w:marTop w:val="0"/>
      <w:marBottom w:val="0"/>
      <w:divBdr>
        <w:top w:val="none" w:sz="0" w:space="0" w:color="auto"/>
        <w:left w:val="none" w:sz="0" w:space="0" w:color="auto"/>
        <w:bottom w:val="none" w:sz="0" w:space="0" w:color="auto"/>
        <w:right w:val="none" w:sz="0" w:space="0" w:color="auto"/>
      </w:divBdr>
    </w:div>
    <w:div w:id="80418598">
      <w:bodyDiv w:val="1"/>
      <w:marLeft w:val="0"/>
      <w:marRight w:val="0"/>
      <w:marTop w:val="0"/>
      <w:marBottom w:val="0"/>
      <w:divBdr>
        <w:top w:val="none" w:sz="0" w:space="0" w:color="auto"/>
        <w:left w:val="none" w:sz="0" w:space="0" w:color="auto"/>
        <w:bottom w:val="none" w:sz="0" w:space="0" w:color="auto"/>
        <w:right w:val="none" w:sz="0" w:space="0" w:color="auto"/>
      </w:divBdr>
    </w:div>
    <w:div w:id="82453664">
      <w:bodyDiv w:val="1"/>
      <w:marLeft w:val="0"/>
      <w:marRight w:val="0"/>
      <w:marTop w:val="0"/>
      <w:marBottom w:val="0"/>
      <w:divBdr>
        <w:top w:val="none" w:sz="0" w:space="0" w:color="auto"/>
        <w:left w:val="none" w:sz="0" w:space="0" w:color="auto"/>
        <w:bottom w:val="none" w:sz="0" w:space="0" w:color="auto"/>
        <w:right w:val="none" w:sz="0" w:space="0" w:color="auto"/>
      </w:divBdr>
    </w:div>
    <w:div w:id="86658485">
      <w:bodyDiv w:val="1"/>
      <w:marLeft w:val="0"/>
      <w:marRight w:val="0"/>
      <w:marTop w:val="0"/>
      <w:marBottom w:val="0"/>
      <w:divBdr>
        <w:top w:val="none" w:sz="0" w:space="0" w:color="auto"/>
        <w:left w:val="none" w:sz="0" w:space="0" w:color="auto"/>
        <w:bottom w:val="none" w:sz="0" w:space="0" w:color="auto"/>
        <w:right w:val="none" w:sz="0" w:space="0" w:color="auto"/>
      </w:divBdr>
    </w:div>
    <w:div w:id="87972182">
      <w:bodyDiv w:val="1"/>
      <w:marLeft w:val="0"/>
      <w:marRight w:val="0"/>
      <w:marTop w:val="0"/>
      <w:marBottom w:val="0"/>
      <w:divBdr>
        <w:top w:val="none" w:sz="0" w:space="0" w:color="auto"/>
        <w:left w:val="none" w:sz="0" w:space="0" w:color="auto"/>
        <w:bottom w:val="none" w:sz="0" w:space="0" w:color="auto"/>
        <w:right w:val="none" w:sz="0" w:space="0" w:color="auto"/>
      </w:divBdr>
    </w:div>
    <w:div w:id="92869906">
      <w:bodyDiv w:val="1"/>
      <w:marLeft w:val="0"/>
      <w:marRight w:val="0"/>
      <w:marTop w:val="0"/>
      <w:marBottom w:val="0"/>
      <w:divBdr>
        <w:top w:val="none" w:sz="0" w:space="0" w:color="auto"/>
        <w:left w:val="none" w:sz="0" w:space="0" w:color="auto"/>
        <w:bottom w:val="none" w:sz="0" w:space="0" w:color="auto"/>
        <w:right w:val="none" w:sz="0" w:space="0" w:color="auto"/>
      </w:divBdr>
    </w:div>
    <w:div w:id="93326827">
      <w:bodyDiv w:val="1"/>
      <w:marLeft w:val="0"/>
      <w:marRight w:val="0"/>
      <w:marTop w:val="0"/>
      <w:marBottom w:val="0"/>
      <w:divBdr>
        <w:top w:val="none" w:sz="0" w:space="0" w:color="auto"/>
        <w:left w:val="none" w:sz="0" w:space="0" w:color="auto"/>
        <w:bottom w:val="none" w:sz="0" w:space="0" w:color="auto"/>
        <w:right w:val="none" w:sz="0" w:space="0" w:color="auto"/>
      </w:divBdr>
    </w:div>
    <w:div w:id="93861803">
      <w:bodyDiv w:val="1"/>
      <w:marLeft w:val="0"/>
      <w:marRight w:val="0"/>
      <w:marTop w:val="0"/>
      <w:marBottom w:val="0"/>
      <w:divBdr>
        <w:top w:val="none" w:sz="0" w:space="0" w:color="auto"/>
        <w:left w:val="none" w:sz="0" w:space="0" w:color="auto"/>
        <w:bottom w:val="none" w:sz="0" w:space="0" w:color="auto"/>
        <w:right w:val="none" w:sz="0" w:space="0" w:color="auto"/>
      </w:divBdr>
    </w:div>
    <w:div w:id="96949741">
      <w:bodyDiv w:val="1"/>
      <w:marLeft w:val="0"/>
      <w:marRight w:val="0"/>
      <w:marTop w:val="0"/>
      <w:marBottom w:val="0"/>
      <w:divBdr>
        <w:top w:val="none" w:sz="0" w:space="0" w:color="auto"/>
        <w:left w:val="none" w:sz="0" w:space="0" w:color="auto"/>
        <w:bottom w:val="none" w:sz="0" w:space="0" w:color="auto"/>
        <w:right w:val="none" w:sz="0" w:space="0" w:color="auto"/>
      </w:divBdr>
    </w:div>
    <w:div w:id="98138700">
      <w:bodyDiv w:val="1"/>
      <w:marLeft w:val="0"/>
      <w:marRight w:val="0"/>
      <w:marTop w:val="0"/>
      <w:marBottom w:val="0"/>
      <w:divBdr>
        <w:top w:val="none" w:sz="0" w:space="0" w:color="auto"/>
        <w:left w:val="none" w:sz="0" w:space="0" w:color="auto"/>
        <w:bottom w:val="none" w:sz="0" w:space="0" w:color="auto"/>
        <w:right w:val="none" w:sz="0" w:space="0" w:color="auto"/>
      </w:divBdr>
    </w:div>
    <w:div w:id="99689514">
      <w:bodyDiv w:val="1"/>
      <w:marLeft w:val="0"/>
      <w:marRight w:val="0"/>
      <w:marTop w:val="0"/>
      <w:marBottom w:val="0"/>
      <w:divBdr>
        <w:top w:val="none" w:sz="0" w:space="0" w:color="auto"/>
        <w:left w:val="none" w:sz="0" w:space="0" w:color="auto"/>
        <w:bottom w:val="none" w:sz="0" w:space="0" w:color="auto"/>
        <w:right w:val="none" w:sz="0" w:space="0" w:color="auto"/>
      </w:divBdr>
    </w:div>
    <w:div w:id="99766624">
      <w:bodyDiv w:val="1"/>
      <w:marLeft w:val="0"/>
      <w:marRight w:val="0"/>
      <w:marTop w:val="0"/>
      <w:marBottom w:val="0"/>
      <w:divBdr>
        <w:top w:val="none" w:sz="0" w:space="0" w:color="auto"/>
        <w:left w:val="none" w:sz="0" w:space="0" w:color="auto"/>
        <w:bottom w:val="none" w:sz="0" w:space="0" w:color="auto"/>
        <w:right w:val="none" w:sz="0" w:space="0" w:color="auto"/>
      </w:divBdr>
    </w:div>
    <w:div w:id="100225343">
      <w:bodyDiv w:val="1"/>
      <w:marLeft w:val="0"/>
      <w:marRight w:val="0"/>
      <w:marTop w:val="0"/>
      <w:marBottom w:val="0"/>
      <w:divBdr>
        <w:top w:val="none" w:sz="0" w:space="0" w:color="auto"/>
        <w:left w:val="none" w:sz="0" w:space="0" w:color="auto"/>
        <w:bottom w:val="none" w:sz="0" w:space="0" w:color="auto"/>
        <w:right w:val="none" w:sz="0" w:space="0" w:color="auto"/>
      </w:divBdr>
    </w:div>
    <w:div w:id="103547881">
      <w:bodyDiv w:val="1"/>
      <w:marLeft w:val="0"/>
      <w:marRight w:val="0"/>
      <w:marTop w:val="0"/>
      <w:marBottom w:val="0"/>
      <w:divBdr>
        <w:top w:val="none" w:sz="0" w:space="0" w:color="auto"/>
        <w:left w:val="none" w:sz="0" w:space="0" w:color="auto"/>
        <w:bottom w:val="none" w:sz="0" w:space="0" w:color="auto"/>
        <w:right w:val="none" w:sz="0" w:space="0" w:color="auto"/>
      </w:divBdr>
    </w:div>
    <w:div w:id="104933176">
      <w:bodyDiv w:val="1"/>
      <w:marLeft w:val="0"/>
      <w:marRight w:val="0"/>
      <w:marTop w:val="0"/>
      <w:marBottom w:val="0"/>
      <w:divBdr>
        <w:top w:val="none" w:sz="0" w:space="0" w:color="auto"/>
        <w:left w:val="none" w:sz="0" w:space="0" w:color="auto"/>
        <w:bottom w:val="none" w:sz="0" w:space="0" w:color="auto"/>
        <w:right w:val="none" w:sz="0" w:space="0" w:color="auto"/>
      </w:divBdr>
    </w:div>
    <w:div w:id="105320457">
      <w:bodyDiv w:val="1"/>
      <w:marLeft w:val="0"/>
      <w:marRight w:val="0"/>
      <w:marTop w:val="0"/>
      <w:marBottom w:val="0"/>
      <w:divBdr>
        <w:top w:val="none" w:sz="0" w:space="0" w:color="auto"/>
        <w:left w:val="none" w:sz="0" w:space="0" w:color="auto"/>
        <w:bottom w:val="none" w:sz="0" w:space="0" w:color="auto"/>
        <w:right w:val="none" w:sz="0" w:space="0" w:color="auto"/>
      </w:divBdr>
    </w:div>
    <w:div w:id="106855525">
      <w:bodyDiv w:val="1"/>
      <w:marLeft w:val="0"/>
      <w:marRight w:val="0"/>
      <w:marTop w:val="0"/>
      <w:marBottom w:val="0"/>
      <w:divBdr>
        <w:top w:val="none" w:sz="0" w:space="0" w:color="auto"/>
        <w:left w:val="none" w:sz="0" w:space="0" w:color="auto"/>
        <w:bottom w:val="none" w:sz="0" w:space="0" w:color="auto"/>
        <w:right w:val="none" w:sz="0" w:space="0" w:color="auto"/>
      </w:divBdr>
    </w:div>
    <w:div w:id="107701514">
      <w:bodyDiv w:val="1"/>
      <w:marLeft w:val="0"/>
      <w:marRight w:val="0"/>
      <w:marTop w:val="0"/>
      <w:marBottom w:val="0"/>
      <w:divBdr>
        <w:top w:val="none" w:sz="0" w:space="0" w:color="auto"/>
        <w:left w:val="none" w:sz="0" w:space="0" w:color="auto"/>
        <w:bottom w:val="none" w:sz="0" w:space="0" w:color="auto"/>
        <w:right w:val="none" w:sz="0" w:space="0" w:color="auto"/>
      </w:divBdr>
    </w:div>
    <w:div w:id="109207904">
      <w:bodyDiv w:val="1"/>
      <w:marLeft w:val="0"/>
      <w:marRight w:val="0"/>
      <w:marTop w:val="0"/>
      <w:marBottom w:val="0"/>
      <w:divBdr>
        <w:top w:val="none" w:sz="0" w:space="0" w:color="auto"/>
        <w:left w:val="none" w:sz="0" w:space="0" w:color="auto"/>
        <w:bottom w:val="none" w:sz="0" w:space="0" w:color="auto"/>
        <w:right w:val="none" w:sz="0" w:space="0" w:color="auto"/>
      </w:divBdr>
    </w:div>
    <w:div w:id="109402767">
      <w:bodyDiv w:val="1"/>
      <w:marLeft w:val="0"/>
      <w:marRight w:val="0"/>
      <w:marTop w:val="0"/>
      <w:marBottom w:val="0"/>
      <w:divBdr>
        <w:top w:val="none" w:sz="0" w:space="0" w:color="auto"/>
        <w:left w:val="none" w:sz="0" w:space="0" w:color="auto"/>
        <w:bottom w:val="none" w:sz="0" w:space="0" w:color="auto"/>
        <w:right w:val="none" w:sz="0" w:space="0" w:color="auto"/>
      </w:divBdr>
    </w:div>
    <w:div w:id="110128856">
      <w:bodyDiv w:val="1"/>
      <w:marLeft w:val="0"/>
      <w:marRight w:val="0"/>
      <w:marTop w:val="0"/>
      <w:marBottom w:val="0"/>
      <w:divBdr>
        <w:top w:val="none" w:sz="0" w:space="0" w:color="auto"/>
        <w:left w:val="none" w:sz="0" w:space="0" w:color="auto"/>
        <w:bottom w:val="none" w:sz="0" w:space="0" w:color="auto"/>
        <w:right w:val="none" w:sz="0" w:space="0" w:color="auto"/>
      </w:divBdr>
    </w:div>
    <w:div w:id="111673416">
      <w:bodyDiv w:val="1"/>
      <w:marLeft w:val="0"/>
      <w:marRight w:val="0"/>
      <w:marTop w:val="0"/>
      <w:marBottom w:val="0"/>
      <w:divBdr>
        <w:top w:val="none" w:sz="0" w:space="0" w:color="auto"/>
        <w:left w:val="none" w:sz="0" w:space="0" w:color="auto"/>
        <w:bottom w:val="none" w:sz="0" w:space="0" w:color="auto"/>
        <w:right w:val="none" w:sz="0" w:space="0" w:color="auto"/>
      </w:divBdr>
    </w:div>
    <w:div w:id="111941675">
      <w:bodyDiv w:val="1"/>
      <w:marLeft w:val="0"/>
      <w:marRight w:val="0"/>
      <w:marTop w:val="0"/>
      <w:marBottom w:val="0"/>
      <w:divBdr>
        <w:top w:val="none" w:sz="0" w:space="0" w:color="auto"/>
        <w:left w:val="none" w:sz="0" w:space="0" w:color="auto"/>
        <w:bottom w:val="none" w:sz="0" w:space="0" w:color="auto"/>
        <w:right w:val="none" w:sz="0" w:space="0" w:color="auto"/>
      </w:divBdr>
    </w:div>
    <w:div w:id="113789173">
      <w:bodyDiv w:val="1"/>
      <w:marLeft w:val="0"/>
      <w:marRight w:val="0"/>
      <w:marTop w:val="0"/>
      <w:marBottom w:val="0"/>
      <w:divBdr>
        <w:top w:val="none" w:sz="0" w:space="0" w:color="auto"/>
        <w:left w:val="none" w:sz="0" w:space="0" w:color="auto"/>
        <w:bottom w:val="none" w:sz="0" w:space="0" w:color="auto"/>
        <w:right w:val="none" w:sz="0" w:space="0" w:color="auto"/>
      </w:divBdr>
    </w:div>
    <w:div w:id="119225877">
      <w:bodyDiv w:val="1"/>
      <w:marLeft w:val="0"/>
      <w:marRight w:val="0"/>
      <w:marTop w:val="0"/>
      <w:marBottom w:val="0"/>
      <w:divBdr>
        <w:top w:val="none" w:sz="0" w:space="0" w:color="auto"/>
        <w:left w:val="none" w:sz="0" w:space="0" w:color="auto"/>
        <w:bottom w:val="none" w:sz="0" w:space="0" w:color="auto"/>
        <w:right w:val="none" w:sz="0" w:space="0" w:color="auto"/>
      </w:divBdr>
    </w:div>
    <w:div w:id="120613563">
      <w:bodyDiv w:val="1"/>
      <w:marLeft w:val="0"/>
      <w:marRight w:val="0"/>
      <w:marTop w:val="0"/>
      <w:marBottom w:val="0"/>
      <w:divBdr>
        <w:top w:val="none" w:sz="0" w:space="0" w:color="auto"/>
        <w:left w:val="none" w:sz="0" w:space="0" w:color="auto"/>
        <w:bottom w:val="none" w:sz="0" w:space="0" w:color="auto"/>
        <w:right w:val="none" w:sz="0" w:space="0" w:color="auto"/>
      </w:divBdr>
    </w:div>
    <w:div w:id="121504101">
      <w:bodyDiv w:val="1"/>
      <w:marLeft w:val="0"/>
      <w:marRight w:val="0"/>
      <w:marTop w:val="0"/>
      <w:marBottom w:val="0"/>
      <w:divBdr>
        <w:top w:val="none" w:sz="0" w:space="0" w:color="auto"/>
        <w:left w:val="none" w:sz="0" w:space="0" w:color="auto"/>
        <w:bottom w:val="none" w:sz="0" w:space="0" w:color="auto"/>
        <w:right w:val="none" w:sz="0" w:space="0" w:color="auto"/>
      </w:divBdr>
    </w:div>
    <w:div w:id="121577116">
      <w:bodyDiv w:val="1"/>
      <w:marLeft w:val="0"/>
      <w:marRight w:val="0"/>
      <w:marTop w:val="0"/>
      <w:marBottom w:val="0"/>
      <w:divBdr>
        <w:top w:val="none" w:sz="0" w:space="0" w:color="auto"/>
        <w:left w:val="none" w:sz="0" w:space="0" w:color="auto"/>
        <w:bottom w:val="none" w:sz="0" w:space="0" w:color="auto"/>
        <w:right w:val="none" w:sz="0" w:space="0" w:color="auto"/>
      </w:divBdr>
    </w:div>
    <w:div w:id="122119024">
      <w:bodyDiv w:val="1"/>
      <w:marLeft w:val="0"/>
      <w:marRight w:val="0"/>
      <w:marTop w:val="0"/>
      <w:marBottom w:val="0"/>
      <w:divBdr>
        <w:top w:val="none" w:sz="0" w:space="0" w:color="auto"/>
        <w:left w:val="none" w:sz="0" w:space="0" w:color="auto"/>
        <w:bottom w:val="none" w:sz="0" w:space="0" w:color="auto"/>
        <w:right w:val="none" w:sz="0" w:space="0" w:color="auto"/>
      </w:divBdr>
    </w:div>
    <w:div w:id="123349447">
      <w:bodyDiv w:val="1"/>
      <w:marLeft w:val="0"/>
      <w:marRight w:val="0"/>
      <w:marTop w:val="0"/>
      <w:marBottom w:val="0"/>
      <w:divBdr>
        <w:top w:val="none" w:sz="0" w:space="0" w:color="auto"/>
        <w:left w:val="none" w:sz="0" w:space="0" w:color="auto"/>
        <w:bottom w:val="none" w:sz="0" w:space="0" w:color="auto"/>
        <w:right w:val="none" w:sz="0" w:space="0" w:color="auto"/>
      </w:divBdr>
    </w:div>
    <w:div w:id="123351383">
      <w:bodyDiv w:val="1"/>
      <w:marLeft w:val="0"/>
      <w:marRight w:val="0"/>
      <w:marTop w:val="0"/>
      <w:marBottom w:val="0"/>
      <w:divBdr>
        <w:top w:val="none" w:sz="0" w:space="0" w:color="auto"/>
        <w:left w:val="none" w:sz="0" w:space="0" w:color="auto"/>
        <w:bottom w:val="none" w:sz="0" w:space="0" w:color="auto"/>
        <w:right w:val="none" w:sz="0" w:space="0" w:color="auto"/>
      </w:divBdr>
    </w:div>
    <w:div w:id="123621902">
      <w:bodyDiv w:val="1"/>
      <w:marLeft w:val="0"/>
      <w:marRight w:val="0"/>
      <w:marTop w:val="0"/>
      <w:marBottom w:val="0"/>
      <w:divBdr>
        <w:top w:val="none" w:sz="0" w:space="0" w:color="auto"/>
        <w:left w:val="none" w:sz="0" w:space="0" w:color="auto"/>
        <w:bottom w:val="none" w:sz="0" w:space="0" w:color="auto"/>
        <w:right w:val="none" w:sz="0" w:space="0" w:color="auto"/>
      </w:divBdr>
    </w:div>
    <w:div w:id="124931797">
      <w:bodyDiv w:val="1"/>
      <w:marLeft w:val="0"/>
      <w:marRight w:val="0"/>
      <w:marTop w:val="0"/>
      <w:marBottom w:val="0"/>
      <w:divBdr>
        <w:top w:val="none" w:sz="0" w:space="0" w:color="auto"/>
        <w:left w:val="none" w:sz="0" w:space="0" w:color="auto"/>
        <w:bottom w:val="none" w:sz="0" w:space="0" w:color="auto"/>
        <w:right w:val="none" w:sz="0" w:space="0" w:color="auto"/>
      </w:divBdr>
    </w:div>
    <w:div w:id="126121010">
      <w:bodyDiv w:val="1"/>
      <w:marLeft w:val="0"/>
      <w:marRight w:val="0"/>
      <w:marTop w:val="0"/>
      <w:marBottom w:val="0"/>
      <w:divBdr>
        <w:top w:val="none" w:sz="0" w:space="0" w:color="auto"/>
        <w:left w:val="none" w:sz="0" w:space="0" w:color="auto"/>
        <w:bottom w:val="none" w:sz="0" w:space="0" w:color="auto"/>
        <w:right w:val="none" w:sz="0" w:space="0" w:color="auto"/>
      </w:divBdr>
    </w:div>
    <w:div w:id="126436195">
      <w:bodyDiv w:val="1"/>
      <w:marLeft w:val="0"/>
      <w:marRight w:val="0"/>
      <w:marTop w:val="0"/>
      <w:marBottom w:val="0"/>
      <w:divBdr>
        <w:top w:val="none" w:sz="0" w:space="0" w:color="auto"/>
        <w:left w:val="none" w:sz="0" w:space="0" w:color="auto"/>
        <w:bottom w:val="none" w:sz="0" w:space="0" w:color="auto"/>
        <w:right w:val="none" w:sz="0" w:space="0" w:color="auto"/>
      </w:divBdr>
    </w:div>
    <w:div w:id="126633053">
      <w:bodyDiv w:val="1"/>
      <w:marLeft w:val="0"/>
      <w:marRight w:val="0"/>
      <w:marTop w:val="0"/>
      <w:marBottom w:val="0"/>
      <w:divBdr>
        <w:top w:val="none" w:sz="0" w:space="0" w:color="auto"/>
        <w:left w:val="none" w:sz="0" w:space="0" w:color="auto"/>
        <w:bottom w:val="none" w:sz="0" w:space="0" w:color="auto"/>
        <w:right w:val="none" w:sz="0" w:space="0" w:color="auto"/>
      </w:divBdr>
    </w:div>
    <w:div w:id="127164406">
      <w:bodyDiv w:val="1"/>
      <w:marLeft w:val="0"/>
      <w:marRight w:val="0"/>
      <w:marTop w:val="0"/>
      <w:marBottom w:val="0"/>
      <w:divBdr>
        <w:top w:val="none" w:sz="0" w:space="0" w:color="auto"/>
        <w:left w:val="none" w:sz="0" w:space="0" w:color="auto"/>
        <w:bottom w:val="none" w:sz="0" w:space="0" w:color="auto"/>
        <w:right w:val="none" w:sz="0" w:space="0" w:color="auto"/>
      </w:divBdr>
    </w:div>
    <w:div w:id="128017571">
      <w:bodyDiv w:val="1"/>
      <w:marLeft w:val="0"/>
      <w:marRight w:val="0"/>
      <w:marTop w:val="0"/>
      <w:marBottom w:val="0"/>
      <w:divBdr>
        <w:top w:val="none" w:sz="0" w:space="0" w:color="auto"/>
        <w:left w:val="none" w:sz="0" w:space="0" w:color="auto"/>
        <w:bottom w:val="none" w:sz="0" w:space="0" w:color="auto"/>
        <w:right w:val="none" w:sz="0" w:space="0" w:color="auto"/>
      </w:divBdr>
    </w:div>
    <w:div w:id="129641795">
      <w:bodyDiv w:val="1"/>
      <w:marLeft w:val="0"/>
      <w:marRight w:val="0"/>
      <w:marTop w:val="0"/>
      <w:marBottom w:val="0"/>
      <w:divBdr>
        <w:top w:val="none" w:sz="0" w:space="0" w:color="auto"/>
        <w:left w:val="none" w:sz="0" w:space="0" w:color="auto"/>
        <w:bottom w:val="none" w:sz="0" w:space="0" w:color="auto"/>
        <w:right w:val="none" w:sz="0" w:space="0" w:color="auto"/>
      </w:divBdr>
    </w:div>
    <w:div w:id="132017427">
      <w:bodyDiv w:val="1"/>
      <w:marLeft w:val="0"/>
      <w:marRight w:val="0"/>
      <w:marTop w:val="0"/>
      <w:marBottom w:val="0"/>
      <w:divBdr>
        <w:top w:val="none" w:sz="0" w:space="0" w:color="auto"/>
        <w:left w:val="none" w:sz="0" w:space="0" w:color="auto"/>
        <w:bottom w:val="none" w:sz="0" w:space="0" w:color="auto"/>
        <w:right w:val="none" w:sz="0" w:space="0" w:color="auto"/>
      </w:divBdr>
    </w:div>
    <w:div w:id="132522742">
      <w:bodyDiv w:val="1"/>
      <w:marLeft w:val="0"/>
      <w:marRight w:val="0"/>
      <w:marTop w:val="0"/>
      <w:marBottom w:val="0"/>
      <w:divBdr>
        <w:top w:val="none" w:sz="0" w:space="0" w:color="auto"/>
        <w:left w:val="none" w:sz="0" w:space="0" w:color="auto"/>
        <w:bottom w:val="none" w:sz="0" w:space="0" w:color="auto"/>
        <w:right w:val="none" w:sz="0" w:space="0" w:color="auto"/>
      </w:divBdr>
    </w:div>
    <w:div w:id="136998462">
      <w:bodyDiv w:val="1"/>
      <w:marLeft w:val="0"/>
      <w:marRight w:val="0"/>
      <w:marTop w:val="0"/>
      <w:marBottom w:val="0"/>
      <w:divBdr>
        <w:top w:val="none" w:sz="0" w:space="0" w:color="auto"/>
        <w:left w:val="none" w:sz="0" w:space="0" w:color="auto"/>
        <w:bottom w:val="none" w:sz="0" w:space="0" w:color="auto"/>
        <w:right w:val="none" w:sz="0" w:space="0" w:color="auto"/>
      </w:divBdr>
    </w:div>
    <w:div w:id="137036270">
      <w:bodyDiv w:val="1"/>
      <w:marLeft w:val="0"/>
      <w:marRight w:val="0"/>
      <w:marTop w:val="0"/>
      <w:marBottom w:val="0"/>
      <w:divBdr>
        <w:top w:val="none" w:sz="0" w:space="0" w:color="auto"/>
        <w:left w:val="none" w:sz="0" w:space="0" w:color="auto"/>
        <w:bottom w:val="none" w:sz="0" w:space="0" w:color="auto"/>
        <w:right w:val="none" w:sz="0" w:space="0" w:color="auto"/>
      </w:divBdr>
    </w:div>
    <w:div w:id="137915744">
      <w:bodyDiv w:val="1"/>
      <w:marLeft w:val="0"/>
      <w:marRight w:val="0"/>
      <w:marTop w:val="0"/>
      <w:marBottom w:val="0"/>
      <w:divBdr>
        <w:top w:val="none" w:sz="0" w:space="0" w:color="auto"/>
        <w:left w:val="none" w:sz="0" w:space="0" w:color="auto"/>
        <w:bottom w:val="none" w:sz="0" w:space="0" w:color="auto"/>
        <w:right w:val="none" w:sz="0" w:space="0" w:color="auto"/>
      </w:divBdr>
    </w:div>
    <w:div w:id="142235241">
      <w:bodyDiv w:val="1"/>
      <w:marLeft w:val="0"/>
      <w:marRight w:val="0"/>
      <w:marTop w:val="0"/>
      <w:marBottom w:val="0"/>
      <w:divBdr>
        <w:top w:val="none" w:sz="0" w:space="0" w:color="auto"/>
        <w:left w:val="none" w:sz="0" w:space="0" w:color="auto"/>
        <w:bottom w:val="none" w:sz="0" w:space="0" w:color="auto"/>
        <w:right w:val="none" w:sz="0" w:space="0" w:color="auto"/>
      </w:divBdr>
    </w:div>
    <w:div w:id="142435112">
      <w:bodyDiv w:val="1"/>
      <w:marLeft w:val="0"/>
      <w:marRight w:val="0"/>
      <w:marTop w:val="0"/>
      <w:marBottom w:val="0"/>
      <w:divBdr>
        <w:top w:val="none" w:sz="0" w:space="0" w:color="auto"/>
        <w:left w:val="none" w:sz="0" w:space="0" w:color="auto"/>
        <w:bottom w:val="none" w:sz="0" w:space="0" w:color="auto"/>
        <w:right w:val="none" w:sz="0" w:space="0" w:color="auto"/>
      </w:divBdr>
    </w:div>
    <w:div w:id="142546157">
      <w:bodyDiv w:val="1"/>
      <w:marLeft w:val="0"/>
      <w:marRight w:val="0"/>
      <w:marTop w:val="0"/>
      <w:marBottom w:val="0"/>
      <w:divBdr>
        <w:top w:val="none" w:sz="0" w:space="0" w:color="auto"/>
        <w:left w:val="none" w:sz="0" w:space="0" w:color="auto"/>
        <w:bottom w:val="none" w:sz="0" w:space="0" w:color="auto"/>
        <w:right w:val="none" w:sz="0" w:space="0" w:color="auto"/>
      </w:divBdr>
    </w:div>
    <w:div w:id="143856854">
      <w:bodyDiv w:val="1"/>
      <w:marLeft w:val="0"/>
      <w:marRight w:val="0"/>
      <w:marTop w:val="0"/>
      <w:marBottom w:val="0"/>
      <w:divBdr>
        <w:top w:val="none" w:sz="0" w:space="0" w:color="auto"/>
        <w:left w:val="none" w:sz="0" w:space="0" w:color="auto"/>
        <w:bottom w:val="none" w:sz="0" w:space="0" w:color="auto"/>
        <w:right w:val="none" w:sz="0" w:space="0" w:color="auto"/>
      </w:divBdr>
    </w:div>
    <w:div w:id="145047577">
      <w:bodyDiv w:val="1"/>
      <w:marLeft w:val="0"/>
      <w:marRight w:val="0"/>
      <w:marTop w:val="0"/>
      <w:marBottom w:val="0"/>
      <w:divBdr>
        <w:top w:val="none" w:sz="0" w:space="0" w:color="auto"/>
        <w:left w:val="none" w:sz="0" w:space="0" w:color="auto"/>
        <w:bottom w:val="none" w:sz="0" w:space="0" w:color="auto"/>
        <w:right w:val="none" w:sz="0" w:space="0" w:color="auto"/>
      </w:divBdr>
    </w:div>
    <w:div w:id="145099157">
      <w:bodyDiv w:val="1"/>
      <w:marLeft w:val="0"/>
      <w:marRight w:val="0"/>
      <w:marTop w:val="0"/>
      <w:marBottom w:val="0"/>
      <w:divBdr>
        <w:top w:val="none" w:sz="0" w:space="0" w:color="auto"/>
        <w:left w:val="none" w:sz="0" w:space="0" w:color="auto"/>
        <w:bottom w:val="none" w:sz="0" w:space="0" w:color="auto"/>
        <w:right w:val="none" w:sz="0" w:space="0" w:color="auto"/>
      </w:divBdr>
    </w:div>
    <w:div w:id="145170001">
      <w:bodyDiv w:val="1"/>
      <w:marLeft w:val="0"/>
      <w:marRight w:val="0"/>
      <w:marTop w:val="0"/>
      <w:marBottom w:val="0"/>
      <w:divBdr>
        <w:top w:val="none" w:sz="0" w:space="0" w:color="auto"/>
        <w:left w:val="none" w:sz="0" w:space="0" w:color="auto"/>
        <w:bottom w:val="none" w:sz="0" w:space="0" w:color="auto"/>
        <w:right w:val="none" w:sz="0" w:space="0" w:color="auto"/>
      </w:divBdr>
    </w:div>
    <w:div w:id="147136334">
      <w:bodyDiv w:val="1"/>
      <w:marLeft w:val="0"/>
      <w:marRight w:val="0"/>
      <w:marTop w:val="0"/>
      <w:marBottom w:val="0"/>
      <w:divBdr>
        <w:top w:val="none" w:sz="0" w:space="0" w:color="auto"/>
        <w:left w:val="none" w:sz="0" w:space="0" w:color="auto"/>
        <w:bottom w:val="none" w:sz="0" w:space="0" w:color="auto"/>
        <w:right w:val="none" w:sz="0" w:space="0" w:color="auto"/>
      </w:divBdr>
    </w:div>
    <w:div w:id="147594257">
      <w:bodyDiv w:val="1"/>
      <w:marLeft w:val="0"/>
      <w:marRight w:val="0"/>
      <w:marTop w:val="0"/>
      <w:marBottom w:val="0"/>
      <w:divBdr>
        <w:top w:val="none" w:sz="0" w:space="0" w:color="auto"/>
        <w:left w:val="none" w:sz="0" w:space="0" w:color="auto"/>
        <w:bottom w:val="none" w:sz="0" w:space="0" w:color="auto"/>
        <w:right w:val="none" w:sz="0" w:space="0" w:color="auto"/>
      </w:divBdr>
    </w:div>
    <w:div w:id="147788724">
      <w:bodyDiv w:val="1"/>
      <w:marLeft w:val="0"/>
      <w:marRight w:val="0"/>
      <w:marTop w:val="0"/>
      <w:marBottom w:val="0"/>
      <w:divBdr>
        <w:top w:val="none" w:sz="0" w:space="0" w:color="auto"/>
        <w:left w:val="none" w:sz="0" w:space="0" w:color="auto"/>
        <w:bottom w:val="none" w:sz="0" w:space="0" w:color="auto"/>
        <w:right w:val="none" w:sz="0" w:space="0" w:color="auto"/>
      </w:divBdr>
    </w:div>
    <w:div w:id="148642301">
      <w:bodyDiv w:val="1"/>
      <w:marLeft w:val="0"/>
      <w:marRight w:val="0"/>
      <w:marTop w:val="0"/>
      <w:marBottom w:val="0"/>
      <w:divBdr>
        <w:top w:val="none" w:sz="0" w:space="0" w:color="auto"/>
        <w:left w:val="none" w:sz="0" w:space="0" w:color="auto"/>
        <w:bottom w:val="none" w:sz="0" w:space="0" w:color="auto"/>
        <w:right w:val="none" w:sz="0" w:space="0" w:color="auto"/>
      </w:divBdr>
    </w:div>
    <w:div w:id="149054997">
      <w:bodyDiv w:val="1"/>
      <w:marLeft w:val="0"/>
      <w:marRight w:val="0"/>
      <w:marTop w:val="0"/>
      <w:marBottom w:val="0"/>
      <w:divBdr>
        <w:top w:val="none" w:sz="0" w:space="0" w:color="auto"/>
        <w:left w:val="none" w:sz="0" w:space="0" w:color="auto"/>
        <w:bottom w:val="none" w:sz="0" w:space="0" w:color="auto"/>
        <w:right w:val="none" w:sz="0" w:space="0" w:color="auto"/>
      </w:divBdr>
    </w:div>
    <w:div w:id="149172983">
      <w:bodyDiv w:val="1"/>
      <w:marLeft w:val="0"/>
      <w:marRight w:val="0"/>
      <w:marTop w:val="0"/>
      <w:marBottom w:val="0"/>
      <w:divBdr>
        <w:top w:val="none" w:sz="0" w:space="0" w:color="auto"/>
        <w:left w:val="none" w:sz="0" w:space="0" w:color="auto"/>
        <w:bottom w:val="none" w:sz="0" w:space="0" w:color="auto"/>
        <w:right w:val="none" w:sz="0" w:space="0" w:color="auto"/>
      </w:divBdr>
    </w:div>
    <w:div w:id="150028073">
      <w:bodyDiv w:val="1"/>
      <w:marLeft w:val="0"/>
      <w:marRight w:val="0"/>
      <w:marTop w:val="0"/>
      <w:marBottom w:val="0"/>
      <w:divBdr>
        <w:top w:val="none" w:sz="0" w:space="0" w:color="auto"/>
        <w:left w:val="none" w:sz="0" w:space="0" w:color="auto"/>
        <w:bottom w:val="none" w:sz="0" w:space="0" w:color="auto"/>
        <w:right w:val="none" w:sz="0" w:space="0" w:color="auto"/>
      </w:divBdr>
    </w:div>
    <w:div w:id="150414201">
      <w:bodyDiv w:val="1"/>
      <w:marLeft w:val="0"/>
      <w:marRight w:val="0"/>
      <w:marTop w:val="0"/>
      <w:marBottom w:val="0"/>
      <w:divBdr>
        <w:top w:val="none" w:sz="0" w:space="0" w:color="auto"/>
        <w:left w:val="none" w:sz="0" w:space="0" w:color="auto"/>
        <w:bottom w:val="none" w:sz="0" w:space="0" w:color="auto"/>
        <w:right w:val="none" w:sz="0" w:space="0" w:color="auto"/>
      </w:divBdr>
    </w:div>
    <w:div w:id="151409816">
      <w:bodyDiv w:val="1"/>
      <w:marLeft w:val="0"/>
      <w:marRight w:val="0"/>
      <w:marTop w:val="0"/>
      <w:marBottom w:val="0"/>
      <w:divBdr>
        <w:top w:val="none" w:sz="0" w:space="0" w:color="auto"/>
        <w:left w:val="none" w:sz="0" w:space="0" w:color="auto"/>
        <w:bottom w:val="none" w:sz="0" w:space="0" w:color="auto"/>
        <w:right w:val="none" w:sz="0" w:space="0" w:color="auto"/>
      </w:divBdr>
    </w:div>
    <w:div w:id="151876949">
      <w:bodyDiv w:val="1"/>
      <w:marLeft w:val="0"/>
      <w:marRight w:val="0"/>
      <w:marTop w:val="0"/>
      <w:marBottom w:val="0"/>
      <w:divBdr>
        <w:top w:val="none" w:sz="0" w:space="0" w:color="auto"/>
        <w:left w:val="none" w:sz="0" w:space="0" w:color="auto"/>
        <w:bottom w:val="none" w:sz="0" w:space="0" w:color="auto"/>
        <w:right w:val="none" w:sz="0" w:space="0" w:color="auto"/>
      </w:divBdr>
    </w:div>
    <w:div w:id="151989228">
      <w:bodyDiv w:val="1"/>
      <w:marLeft w:val="0"/>
      <w:marRight w:val="0"/>
      <w:marTop w:val="0"/>
      <w:marBottom w:val="0"/>
      <w:divBdr>
        <w:top w:val="none" w:sz="0" w:space="0" w:color="auto"/>
        <w:left w:val="none" w:sz="0" w:space="0" w:color="auto"/>
        <w:bottom w:val="none" w:sz="0" w:space="0" w:color="auto"/>
        <w:right w:val="none" w:sz="0" w:space="0" w:color="auto"/>
      </w:divBdr>
    </w:div>
    <w:div w:id="152911856">
      <w:bodyDiv w:val="1"/>
      <w:marLeft w:val="0"/>
      <w:marRight w:val="0"/>
      <w:marTop w:val="0"/>
      <w:marBottom w:val="0"/>
      <w:divBdr>
        <w:top w:val="none" w:sz="0" w:space="0" w:color="auto"/>
        <w:left w:val="none" w:sz="0" w:space="0" w:color="auto"/>
        <w:bottom w:val="none" w:sz="0" w:space="0" w:color="auto"/>
        <w:right w:val="none" w:sz="0" w:space="0" w:color="auto"/>
      </w:divBdr>
    </w:div>
    <w:div w:id="154802250">
      <w:bodyDiv w:val="1"/>
      <w:marLeft w:val="0"/>
      <w:marRight w:val="0"/>
      <w:marTop w:val="0"/>
      <w:marBottom w:val="0"/>
      <w:divBdr>
        <w:top w:val="none" w:sz="0" w:space="0" w:color="auto"/>
        <w:left w:val="none" w:sz="0" w:space="0" w:color="auto"/>
        <w:bottom w:val="none" w:sz="0" w:space="0" w:color="auto"/>
        <w:right w:val="none" w:sz="0" w:space="0" w:color="auto"/>
      </w:divBdr>
    </w:div>
    <w:div w:id="155609662">
      <w:bodyDiv w:val="1"/>
      <w:marLeft w:val="0"/>
      <w:marRight w:val="0"/>
      <w:marTop w:val="0"/>
      <w:marBottom w:val="0"/>
      <w:divBdr>
        <w:top w:val="none" w:sz="0" w:space="0" w:color="auto"/>
        <w:left w:val="none" w:sz="0" w:space="0" w:color="auto"/>
        <w:bottom w:val="none" w:sz="0" w:space="0" w:color="auto"/>
        <w:right w:val="none" w:sz="0" w:space="0" w:color="auto"/>
      </w:divBdr>
    </w:div>
    <w:div w:id="159125471">
      <w:bodyDiv w:val="1"/>
      <w:marLeft w:val="0"/>
      <w:marRight w:val="0"/>
      <w:marTop w:val="0"/>
      <w:marBottom w:val="0"/>
      <w:divBdr>
        <w:top w:val="none" w:sz="0" w:space="0" w:color="auto"/>
        <w:left w:val="none" w:sz="0" w:space="0" w:color="auto"/>
        <w:bottom w:val="none" w:sz="0" w:space="0" w:color="auto"/>
        <w:right w:val="none" w:sz="0" w:space="0" w:color="auto"/>
      </w:divBdr>
    </w:div>
    <w:div w:id="159779345">
      <w:bodyDiv w:val="1"/>
      <w:marLeft w:val="0"/>
      <w:marRight w:val="0"/>
      <w:marTop w:val="0"/>
      <w:marBottom w:val="0"/>
      <w:divBdr>
        <w:top w:val="none" w:sz="0" w:space="0" w:color="auto"/>
        <w:left w:val="none" w:sz="0" w:space="0" w:color="auto"/>
        <w:bottom w:val="none" w:sz="0" w:space="0" w:color="auto"/>
        <w:right w:val="none" w:sz="0" w:space="0" w:color="auto"/>
      </w:divBdr>
    </w:div>
    <w:div w:id="161702459">
      <w:bodyDiv w:val="1"/>
      <w:marLeft w:val="0"/>
      <w:marRight w:val="0"/>
      <w:marTop w:val="0"/>
      <w:marBottom w:val="0"/>
      <w:divBdr>
        <w:top w:val="none" w:sz="0" w:space="0" w:color="auto"/>
        <w:left w:val="none" w:sz="0" w:space="0" w:color="auto"/>
        <w:bottom w:val="none" w:sz="0" w:space="0" w:color="auto"/>
        <w:right w:val="none" w:sz="0" w:space="0" w:color="auto"/>
      </w:divBdr>
    </w:div>
    <w:div w:id="162013214">
      <w:bodyDiv w:val="1"/>
      <w:marLeft w:val="0"/>
      <w:marRight w:val="0"/>
      <w:marTop w:val="0"/>
      <w:marBottom w:val="0"/>
      <w:divBdr>
        <w:top w:val="none" w:sz="0" w:space="0" w:color="auto"/>
        <w:left w:val="none" w:sz="0" w:space="0" w:color="auto"/>
        <w:bottom w:val="none" w:sz="0" w:space="0" w:color="auto"/>
        <w:right w:val="none" w:sz="0" w:space="0" w:color="auto"/>
      </w:divBdr>
    </w:div>
    <w:div w:id="163518272">
      <w:bodyDiv w:val="1"/>
      <w:marLeft w:val="0"/>
      <w:marRight w:val="0"/>
      <w:marTop w:val="0"/>
      <w:marBottom w:val="0"/>
      <w:divBdr>
        <w:top w:val="none" w:sz="0" w:space="0" w:color="auto"/>
        <w:left w:val="none" w:sz="0" w:space="0" w:color="auto"/>
        <w:bottom w:val="none" w:sz="0" w:space="0" w:color="auto"/>
        <w:right w:val="none" w:sz="0" w:space="0" w:color="auto"/>
      </w:divBdr>
    </w:div>
    <w:div w:id="164369046">
      <w:bodyDiv w:val="1"/>
      <w:marLeft w:val="0"/>
      <w:marRight w:val="0"/>
      <w:marTop w:val="0"/>
      <w:marBottom w:val="0"/>
      <w:divBdr>
        <w:top w:val="none" w:sz="0" w:space="0" w:color="auto"/>
        <w:left w:val="none" w:sz="0" w:space="0" w:color="auto"/>
        <w:bottom w:val="none" w:sz="0" w:space="0" w:color="auto"/>
        <w:right w:val="none" w:sz="0" w:space="0" w:color="auto"/>
      </w:divBdr>
    </w:div>
    <w:div w:id="164783661">
      <w:bodyDiv w:val="1"/>
      <w:marLeft w:val="0"/>
      <w:marRight w:val="0"/>
      <w:marTop w:val="0"/>
      <w:marBottom w:val="0"/>
      <w:divBdr>
        <w:top w:val="none" w:sz="0" w:space="0" w:color="auto"/>
        <w:left w:val="none" w:sz="0" w:space="0" w:color="auto"/>
        <w:bottom w:val="none" w:sz="0" w:space="0" w:color="auto"/>
        <w:right w:val="none" w:sz="0" w:space="0" w:color="auto"/>
      </w:divBdr>
    </w:div>
    <w:div w:id="165480438">
      <w:bodyDiv w:val="1"/>
      <w:marLeft w:val="0"/>
      <w:marRight w:val="0"/>
      <w:marTop w:val="0"/>
      <w:marBottom w:val="0"/>
      <w:divBdr>
        <w:top w:val="none" w:sz="0" w:space="0" w:color="auto"/>
        <w:left w:val="none" w:sz="0" w:space="0" w:color="auto"/>
        <w:bottom w:val="none" w:sz="0" w:space="0" w:color="auto"/>
        <w:right w:val="none" w:sz="0" w:space="0" w:color="auto"/>
      </w:divBdr>
    </w:div>
    <w:div w:id="165557329">
      <w:bodyDiv w:val="1"/>
      <w:marLeft w:val="0"/>
      <w:marRight w:val="0"/>
      <w:marTop w:val="0"/>
      <w:marBottom w:val="0"/>
      <w:divBdr>
        <w:top w:val="none" w:sz="0" w:space="0" w:color="auto"/>
        <w:left w:val="none" w:sz="0" w:space="0" w:color="auto"/>
        <w:bottom w:val="none" w:sz="0" w:space="0" w:color="auto"/>
        <w:right w:val="none" w:sz="0" w:space="0" w:color="auto"/>
      </w:divBdr>
    </w:div>
    <w:div w:id="165752092">
      <w:bodyDiv w:val="1"/>
      <w:marLeft w:val="0"/>
      <w:marRight w:val="0"/>
      <w:marTop w:val="0"/>
      <w:marBottom w:val="0"/>
      <w:divBdr>
        <w:top w:val="none" w:sz="0" w:space="0" w:color="auto"/>
        <w:left w:val="none" w:sz="0" w:space="0" w:color="auto"/>
        <w:bottom w:val="none" w:sz="0" w:space="0" w:color="auto"/>
        <w:right w:val="none" w:sz="0" w:space="0" w:color="auto"/>
      </w:divBdr>
    </w:div>
    <w:div w:id="166792169">
      <w:bodyDiv w:val="1"/>
      <w:marLeft w:val="0"/>
      <w:marRight w:val="0"/>
      <w:marTop w:val="0"/>
      <w:marBottom w:val="0"/>
      <w:divBdr>
        <w:top w:val="none" w:sz="0" w:space="0" w:color="auto"/>
        <w:left w:val="none" w:sz="0" w:space="0" w:color="auto"/>
        <w:bottom w:val="none" w:sz="0" w:space="0" w:color="auto"/>
        <w:right w:val="none" w:sz="0" w:space="0" w:color="auto"/>
      </w:divBdr>
    </w:div>
    <w:div w:id="167404772">
      <w:bodyDiv w:val="1"/>
      <w:marLeft w:val="0"/>
      <w:marRight w:val="0"/>
      <w:marTop w:val="0"/>
      <w:marBottom w:val="0"/>
      <w:divBdr>
        <w:top w:val="none" w:sz="0" w:space="0" w:color="auto"/>
        <w:left w:val="none" w:sz="0" w:space="0" w:color="auto"/>
        <w:bottom w:val="none" w:sz="0" w:space="0" w:color="auto"/>
        <w:right w:val="none" w:sz="0" w:space="0" w:color="auto"/>
      </w:divBdr>
    </w:div>
    <w:div w:id="169218069">
      <w:bodyDiv w:val="1"/>
      <w:marLeft w:val="0"/>
      <w:marRight w:val="0"/>
      <w:marTop w:val="0"/>
      <w:marBottom w:val="0"/>
      <w:divBdr>
        <w:top w:val="none" w:sz="0" w:space="0" w:color="auto"/>
        <w:left w:val="none" w:sz="0" w:space="0" w:color="auto"/>
        <w:bottom w:val="none" w:sz="0" w:space="0" w:color="auto"/>
        <w:right w:val="none" w:sz="0" w:space="0" w:color="auto"/>
      </w:divBdr>
    </w:div>
    <w:div w:id="173805435">
      <w:bodyDiv w:val="1"/>
      <w:marLeft w:val="0"/>
      <w:marRight w:val="0"/>
      <w:marTop w:val="0"/>
      <w:marBottom w:val="0"/>
      <w:divBdr>
        <w:top w:val="none" w:sz="0" w:space="0" w:color="auto"/>
        <w:left w:val="none" w:sz="0" w:space="0" w:color="auto"/>
        <w:bottom w:val="none" w:sz="0" w:space="0" w:color="auto"/>
        <w:right w:val="none" w:sz="0" w:space="0" w:color="auto"/>
      </w:divBdr>
    </w:div>
    <w:div w:id="175584510">
      <w:bodyDiv w:val="1"/>
      <w:marLeft w:val="0"/>
      <w:marRight w:val="0"/>
      <w:marTop w:val="0"/>
      <w:marBottom w:val="0"/>
      <w:divBdr>
        <w:top w:val="none" w:sz="0" w:space="0" w:color="auto"/>
        <w:left w:val="none" w:sz="0" w:space="0" w:color="auto"/>
        <w:bottom w:val="none" w:sz="0" w:space="0" w:color="auto"/>
        <w:right w:val="none" w:sz="0" w:space="0" w:color="auto"/>
      </w:divBdr>
    </w:div>
    <w:div w:id="176044760">
      <w:bodyDiv w:val="1"/>
      <w:marLeft w:val="0"/>
      <w:marRight w:val="0"/>
      <w:marTop w:val="0"/>
      <w:marBottom w:val="0"/>
      <w:divBdr>
        <w:top w:val="none" w:sz="0" w:space="0" w:color="auto"/>
        <w:left w:val="none" w:sz="0" w:space="0" w:color="auto"/>
        <w:bottom w:val="none" w:sz="0" w:space="0" w:color="auto"/>
        <w:right w:val="none" w:sz="0" w:space="0" w:color="auto"/>
      </w:divBdr>
    </w:div>
    <w:div w:id="176315103">
      <w:bodyDiv w:val="1"/>
      <w:marLeft w:val="0"/>
      <w:marRight w:val="0"/>
      <w:marTop w:val="0"/>
      <w:marBottom w:val="0"/>
      <w:divBdr>
        <w:top w:val="none" w:sz="0" w:space="0" w:color="auto"/>
        <w:left w:val="none" w:sz="0" w:space="0" w:color="auto"/>
        <w:bottom w:val="none" w:sz="0" w:space="0" w:color="auto"/>
        <w:right w:val="none" w:sz="0" w:space="0" w:color="auto"/>
      </w:divBdr>
    </w:div>
    <w:div w:id="176770445">
      <w:bodyDiv w:val="1"/>
      <w:marLeft w:val="0"/>
      <w:marRight w:val="0"/>
      <w:marTop w:val="0"/>
      <w:marBottom w:val="0"/>
      <w:divBdr>
        <w:top w:val="none" w:sz="0" w:space="0" w:color="auto"/>
        <w:left w:val="none" w:sz="0" w:space="0" w:color="auto"/>
        <w:bottom w:val="none" w:sz="0" w:space="0" w:color="auto"/>
        <w:right w:val="none" w:sz="0" w:space="0" w:color="auto"/>
      </w:divBdr>
    </w:div>
    <w:div w:id="177430433">
      <w:bodyDiv w:val="1"/>
      <w:marLeft w:val="0"/>
      <w:marRight w:val="0"/>
      <w:marTop w:val="0"/>
      <w:marBottom w:val="0"/>
      <w:divBdr>
        <w:top w:val="none" w:sz="0" w:space="0" w:color="auto"/>
        <w:left w:val="none" w:sz="0" w:space="0" w:color="auto"/>
        <w:bottom w:val="none" w:sz="0" w:space="0" w:color="auto"/>
        <w:right w:val="none" w:sz="0" w:space="0" w:color="auto"/>
      </w:divBdr>
    </w:div>
    <w:div w:id="178392392">
      <w:bodyDiv w:val="1"/>
      <w:marLeft w:val="0"/>
      <w:marRight w:val="0"/>
      <w:marTop w:val="0"/>
      <w:marBottom w:val="0"/>
      <w:divBdr>
        <w:top w:val="none" w:sz="0" w:space="0" w:color="auto"/>
        <w:left w:val="none" w:sz="0" w:space="0" w:color="auto"/>
        <w:bottom w:val="none" w:sz="0" w:space="0" w:color="auto"/>
        <w:right w:val="none" w:sz="0" w:space="0" w:color="auto"/>
      </w:divBdr>
    </w:div>
    <w:div w:id="178398790">
      <w:bodyDiv w:val="1"/>
      <w:marLeft w:val="0"/>
      <w:marRight w:val="0"/>
      <w:marTop w:val="0"/>
      <w:marBottom w:val="0"/>
      <w:divBdr>
        <w:top w:val="none" w:sz="0" w:space="0" w:color="auto"/>
        <w:left w:val="none" w:sz="0" w:space="0" w:color="auto"/>
        <w:bottom w:val="none" w:sz="0" w:space="0" w:color="auto"/>
        <w:right w:val="none" w:sz="0" w:space="0" w:color="auto"/>
      </w:divBdr>
    </w:div>
    <w:div w:id="178734849">
      <w:bodyDiv w:val="1"/>
      <w:marLeft w:val="0"/>
      <w:marRight w:val="0"/>
      <w:marTop w:val="0"/>
      <w:marBottom w:val="0"/>
      <w:divBdr>
        <w:top w:val="none" w:sz="0" w:space="0" w:color="auto"/>
        <w:left w:val="none" w:sz="0" w:space="0" w:color="auto"/>
        <w:bottom w:val="none" w:sz="0" w:space="0" w:color="auto"/>
        <w:right w:val="none" w:sz="0" w:space="0" w:color="auto"/>
      </w:divBdr>
    </w:div>
    <w:div w:id="178742331">
      <w:bodyDiv w:val="1"/>
      <w:marLeft w:val="0"/>
      <w:marRight w:val="0"/>
      <w:marTop w:val="0"/>
      <w:marBottom w:val="0"/>
      <w:divBdr>
        <w:top w:val="none" w:sz="0" w:space="0" w:color="auto"/>
        <w:left w:val="none" w:sz="0" w:space="0" w:color="auto"/>
        <w:bottom w:val="none" w:sz="0" w:space="0" w:color="auto"/>
        <w:right w:val="none" w:sz="0" w:space="0" w:color="auto"/>
      </w:divBdr>
    </w:div>
    <w:div w:id="178980446">
      <w:bodyDiv w:val="1"/>
      <w:marLeft w:val="0"/>
      <w:marRight w:val="0"/>
      <w:marTop w:val="0"/>
      <w:marBottom w:val="0"/>
      <w:divBdr>
        <w:top w:val="none" w:sz="0" w:space="0" w:color="auto"/>
        <w:left w:val="none" w:sz="0" w:space="0" w:color="auto"/>
        <w:bottom w:val="none" w:sz="0" w:space="0" w:color="auto"/>
        <w:right w:val="none" w:sz="0" w:space="0" w:color="auto"/>
      </w:divBdr>
    </w:div>
    <w:div w:id="180509598">
      <w:bodyDiv w:val="1"/>
      <w:marLeft w:val="0"/>
      <w:marRight w:val="0"/>
      <w:marTop w:val="0"/>
      <w:marBottom w:val="0"/>
      <w:divBdr>
        <w:top w:val="none" w:sz="0" w:space="0" w:color="auto"/>
        <w:left w:val="none" w:sz="0" w:space="0" w:color="auto"/>
        <w:bottom w:val="none" w:sz="0" w:space="0" w:color="auto"/>
        <w:right w:val="none" w:sz="0" w:space="0" w:color="auto"/>
      </w:divBdr>
    </w:div>
    <w:div w:id="181017666">
      <w:bodyDiv w:val="1"/>
      <w:marLeft w:val="0"/>
      <w:marRight w:val="0"/>
      <w:marTop w:val="0"/>
      <w:marBottom w:val="0"/>
      <w:divBdr>
        <w:top w:val="none" w:sz="0" w:space="0" w:color="auto"/>
        <w:left w:val="none" w:sz="0" w:space="0" w:color="auto"/>
        <w:bottom w:val="none" w:sz="0" w:space="0" w:color="auto"/>
        <w:right w:val="none" w:sz="0" w:space="0" w:color="auto"/>
      </w:divBdr>
    </w:div>
    <w:div w:id="182137232">
      <w:bodyDiv w:val="1"/>
      <w:marLeft w:val="0"/>
      <w:marRight w:val="0"/>
      <w:marTop w:val="0"/>
      <w:marBottom w:val="0"/>
      <w:divBdr>
        <w:top w:val="none" w:sz="0" w:space="0" w:color="auto"/>
        <w:left w:val="none" w:sz="0" w:space="0" w:color="auto"/>
        <w:bottom w:val="none" w:sz="0" w:space="0" w:color="auto"/>
        <w:right w:val="none" w:sz="0" w:space="0" w:color="auto"/>
      </w:divBdr>
    </w:div>
    <w:div w:id="182786679">
      <w:bodyDiv w:val="1"/>
      <w:marLeft w:val="0"/>
      <w:marRight w:val="0"/>
      <w:marTop w:val="0"/>
      <w:marBottom w:val="0"/>
      <w:divBdr>
        <w:top w:val="none" w:sz="0" w:space="0" w:color="auto"/>
        <w:left w:val="none" w:sz="0" w:space="0" w:color="auto"/>
        <w:bottom w:val="none" w:sz="0" w:space="0" w:color="auto"/>
        <w:right w:val="none" w:sz="0" w:space="0" w:color="auto"/>
      </w:divBdr>
    </w:div>
    <w:div w:id="183590427">
      <w:bodyDiv w:val="1"/>
      <w:marLeft w:val="0"/>
      <w:marRight w:val="0"/>
      <w:marTop w:val="0"/>
      <w:marBottom w:val="0"/>
      <w:divBdr>
        <w:top w:val="none" w:sz="0" w:space="0" w:color="auto"/>
        <w:left w:val="none" w:sz="0" w:space="0" w:color="auto"/>
        <w:bottom w:val="none" w:sz="0" w:space="0" w:color="auto"/>
        <w:right w:val="none" w:sz="0" w:space="0" w:color="auto"/>
      </w:divBdr>
    </w:div>
    <w:div w:id="184369778">
      <w:bodyDiv w:val="1"/>
      <w:marLeft w:val="0"/>
      <w:marRight w:val="0"/>
      <w:marTop w:val="0"/>
      <w:marBottom w:val="0"/>
      <w:divBdr>
        <w:top w:val="none" w:sz="0" w:space="0" w:color="auto"/>
        <w:left w:val="none" w:sz="0" w:space="0" w:color="auto"/>
        <w:bottom w:val="none" w:sz="0" w:space="0" w:color="auto"/>
        <w:right w:val="none" w:sz="0" w:space="0" w:color="auto"/>
      </w:divBdr>
    </w:div>
    <w:div w:id="186021474">
      <w:bodyDiv w:val="1"/>
      <w:marLeft w:val="0"/>
      <w:marRight w:val="0"/>
      <w:marTop w:val="0"/>
      <w:marBottom w:val="0"/>
      <w:divBdr>
        <w:top w:val="none" w:sz="0" w:space="0" w:color="auto"/>
        <w:left w:val="none" w:sz="0" w:space="0" w:color="auto"/>
        <w:bottom w:val="none" w:sz="0" w:space="0" w:color="auto"/>
        <w:right w:val="none" w:sz="0" w:space="0" w:color="auto"/>
      </w:divBdr>
    </w:div>
    <w:div w:id="186481631">
      <w:bodyDiv w:val="1"/>
      <w:marLeft w:val="0"/>
      <w:marRight w:val="0"/>
      <w:marTop w:val="0"/>
      <w:marBottom w:val="0"/>
      <w:divBdr>
        <w:top w:val="none" w:sz="0" w:space="0" w:color="auto"/>
        <w:left w:val="none" w:sz="0" w:space="0" w:color="auto"/>
        <w:bottom w:val="none" w:sz="0" w:space="0" w:color="auto"/>
        <w:right w:val="none" w:sz="0" w:space="0" w:color="auto"/>
      </w:divBdr>
    </w:div>
    <w:div w:id="187111192">
      <w:bodyDiv w:val="1"/>
      <w:marLeft w:val="0"/>
      <w:marRight w:val="0"/>
      <w:marTop w:val="0"/>
      <w:marBottom w:val="0"/>
      <w:divBdr>
        <w:top w:val="none" w:sz="0" w:space="0" w:color="auto"/>
        <w:left w:val="none" w:sz="0" w:space="0" w:color="auto"/>
        <w:bottom w:val="none" w:sz="0" w:space="0" w:color="auto"/>
        <w:right w:val="none" w:sz="0" w:space="0" w:color="auto"/>
      </w:divBdr>
    </w:div>
    <w:div w:id="193885855">
      <w:bodyDiv w:val="1"/>
      <w:marLeft w:val="0"/>
      <w:marRight w:val="0"/>
      <w:marTop w:val="0"/>
      <w:marBottom w:val="0"/>
      <w:divBdr>
        <w:top w:val="none" w:sz="0" w:space="0" w:color="auto"/>
        <w:left w:val="none" w:sz="0" w:space="0" w:color="auto"/>
        <w:bottom w:val="none" w:sz="0" w:space="0" w:color="auto"/>
        <w:right w:val="none" w:sz="0" w:space="0" w:color="auto"/>
      </w:divBdr>
    </w:div>
    <w:div w:id="194316830">
      <w:bodyDiv w:val="1"/>
      <w:marLeft w:val="0"/>
      <w:marRight w:val="0"/>
      <w:marTop w:val="0"/>
      <w:marBottom w:val="0"/>
      <w:divBdr>
        <w:top w:val="none" w:sz="0" w:space="0" w:color="auto"/>
        <w:left w:val="none" w:sz="0" w:space="0" w:color="auto"/>
        <w:bottom w:val="none" w:sz="0" w:space="0" w:color="auto"/>
        <w:right w:val="none" w:sz="0" w:space="0" w:color="auto"/>
      </w:divBdr>
    </w:div>
    <w:div w:id="196548970">
      <w:bodyDiv w:val="1"/>
      <w:marLeft w:val="0"/>
      <w:marRight w:val="0"/>
      <w:marTop w:val="0"/>
      <w:marBottom w:val="0"/>
      <w:divBdr>
        <w:top w:val="none" w:sz="0" w:space="0" w:color="auto"/>
        <w:left w:val="none" w:sz="0" w:space="0" w:color="auto"/>
        <w:bottom w:val="none" w:sz="0" w:space="0" w:color="auto"/>
        <w:right w:val="none" w:sz="0" w:space="0" w:color="auto"/>
      </w:divBdr>
    </w:div>
    <w:div w:id="198319430">
      <w:bodyDiv w:val="1"/>
      <w:marLeft w:val="0"/>
      <w:marRight w:val="0"/>
      <w:marTop w:val="0"/>
      <w:marBottom w:val="0"/>
      <w:divBdr>
        <w:top w:val="none" w:sz="0" w:space="0" w:color="auto"/>
        <w:left w:val="none" w:sz="0" w:space="0" w:color="auto"/>
        <w:bottom w:val="none" w:sz="0" w:space="0" w:color="auto"/>
        <w:right w:val="none" w:sz="0" w:space="0" w:color="auto"/>
      </w:divBdr>
    </w:div>
    <w:div w:id="198785404">
      <w:bodyDiv w:val="1"/>
      <w:marLeft w:val="0"/>
      <w:marRight w:val="0"/>
      <w:marTop w:val="0"/>
      <w:marBottom w:val="0"/>
      <w:divBdr>
        <w:top w:val="none" w:sz="0" w:space="0" w:color="auto"/>
        <w:left w:val="none" w:sz="0" w:space="0" w:color="auto"/>
        <w:bottom w:val="none" w:sz="0" w:space="0" w:color="auto"/>
        <w:right w:val="none" w:sz="0" w:space="0" w:color="auto"/>
      </w:divBdr>
    </w:div>
    <w:div w:id="198861475">
      <w:bodyDiv w:val="1"/>
      <w:marLeft w:val="0"/>
      <w:marRight w:val="0"/>
      <w:marTop w:val="0"/>
      <w:marBottom w:val="0"/>
      <w:divBdr>
        <w:top w:val="none" w:sz="0" w:space="0" w:color="auto"/>
        <w:left w:val="none" w:sz="0" w:space="0" w:color="auto"/>
        <w:bottom w:val="none" w:sz="0" w:space="0" w:color="auto"/>
        <w:right w:val="none" w:sz="0" w:space="0" w:color="auto"/>
      </w:divBdr>
    </w:div>
    <w:div w:id="199129750">
      <w:bodyDiv w:val="1"/>
      <w:marLeft w:val="0"/>
      <w:marRight w:val="0"/>
      <w:marTop w:val="0"/>
      <w:marBottom w:val="0"/>
      <w:divBdr>
        <w:top w:val="none" w:sz="0" w:space="0" w:color="auto"/>
        <w:left w:val="none" w:sz="0" w:space="0" w:color="auto"/>
        <w:bottom w:val="none" w:sz="0" w:space="0" w:color="auto"/>
        <w:right w:val="none" w:sz="0" w:space="0" w:color="auto"/>
      </w:divBdr>
    </w:div>
    <w:div w:id="203643487">
      <w:bodyDiv w:val="1"/>
      <w:marLeft w:val="0"/>
      <w:marRight w:val="0"/>
      <w:marTop w:val="0"/>
      <w:marBottom w:val="0"/>
      <w:divBdr>
        <w:top w:val="none" w:sz="0" w:space="0" w:color="auto"/>
        <w:left w:val="none" w:sz="0" w:space="0" w:color="auto"/>
        <w:bottom w:val="none" w:sz="0" w:space="0" w:color="auto"/>
        <w:right w:val="none" w:sz="0" w:space="0" w:color="auto"/>
      </w:divBdr>
    </w:div>
    <w:div w:id="210266549">
      <w:bodyDiv w:val="1"/>
      <w:marLeft w:val="0"/>
      <w:marRight w:val="0"/>
      <w:marTop w:val="0"/>
      <w:marBottom w:val="0"/>
      <w:divBdr>
        <w:top w:val="none" w:sz="0" w:space="0" w:color="auto"/>
        <w:left w:val="none" w:sz="0" w:space="0" w:color="auto"/>
        <w:bottom w:val="none" w:sz="0" w:space="0" w:color="auto"/>
        <w:right w:val="none" w:sz="0" w:space="0" w:color="auto"/>
      </w:divBdr>
    </w:div>
    <w:div w:id="211306102">
      <w:bodyDiv w:val="1"/>
      <w:marLeft w:val="0"/>
      <w:marRight w:val="0"/>
      <w:marTop w:val="0"/>
      <w:marBottom w:val="0"/>
      <w:divBdr>
        <w:top w:val="none" w:sz="0" w:space="0" w:color="auto"/>
        <w:left w:val="none" w:sz="0" w:space="0" w:color="auto"/>
        <w:bottom w:val="none" w:sz="0" w:space="0" w:color="auto"/>
        <w:right w:val="none" w:sz="0" w:space="0" w:color="auto"/>
      </w:divBdr>
    </w:div>
    <w:div w:id="211499602">
      <w:bodyDiv w:val="1"/>
      <w:marLeft w:val="0"/>
      <w:marRight w:val="0"/>
      <w:marTop w:val="0"/>
      <w:marBottom w:val="0"/>
      <w:divBdr>
        <w:top w:val="none" w:sz="0" w:space="0" w:color="auto"/>
        <w:left w:val="none" w:sz="0" w:space="0" w:color="auto"/>
        <w:bottom w:val="none" w:sz="0" w:space="0" w:color="auto"/>
        <w:right w:val="none" w:sz="0" w:space="0" w:color="auto"/>
      </w:divBdr>
    </w:div>
    <w:div w:id="212430614">
      <w:bodyDiv w:val="1"/>
      <w:marLeft w:val="0"/>
      <w:marRight w:val="0"/>
      <w:marTop w:val="0"/>
      <w:marBottom w:val="0"/>
      <w:divBdr>
        <w:top w:val="none" w:sz="0" w:space="0" w:color="auto"/>
        <w:left w:val="none" w:sz="0" w:space="0" w:color="auto"/>
        <w:bottom w:val="none" w:sz="0" w:space="0" w:color="auto"/>
        <w:right w:val="none" w:sz="0" w:space="0" w:color="auto"/>
      </w:divBdr>
    </w:div>
    <w:div w:id="217480521">
      <w:bodyDiv w:val="1"/>
      <w:marLeft w:val="0"/>
      <w:marRight w:val="0"/>
      <w:marTop w:val="0"/>
      <w:marBottom w:val="0"/>
      <w:divBdr>
        <w:top w:val="none" w:sz="0" w:space="0" w:color="auto"/>
        <w:left w:val="none" w:sz="0" w:space="0" w:color="auto"/>
        <w:bottom w:val="none" w:sz="0" w:space="0" w:color="auto"/>
        <w:right w:val="none" w:sz="0" w:space="0" w:color="auto"/>
      </w:divBdr>
    </w:div>
    <w:div w:id="217739841">
      <w:bodyDiv w:val="1"/>
      <w:marLeft w:val="0"/>
      <w:marRight w:val="0"/>
      <w:marTop w:val="0"/>
      <w:marBottom w:val="0"/>
      <w:divBdr>
        <w:top w:val="none" w:sz="0" w:space="0" w:color="auto"/>
        <w:left w:val="none" w:sz="0" w:space="0" w:color="auto"/>
        <w:bottom w:val="none" w:sz="0" w:space="0" w:color="auto"/>
        <w:right w:val="none" w:sz="0" w:space="0" w:color="auto"/>
      </w:divBdr>
    </w:div>
    <w:div w:id="218521405">
      <w:bodyDiv w:val="1"/>
      <w:marLeft w:val="0"/>
      <w:marRight w:val="0"/>
      <w:marTop w:val="0"/>
      <w:marBottom w:val="0"/>
      <w:divBdr>
        <w:top w:val="none" w:sz="0" w:space="0" w:color="auto"/>
        <w:left w:val="none" w:sz="0" w:space="0" w:color="auto"/>
        <w:bottom w:val="none" w:sz="0" w:space="0" w:color="auto"/>
        <w:right w:val="none" w:sz="0" w:space="0" w:color="auto"/>
      </w:divBdr>
    </w:div>
    <w:div w:id="222567252">
      <w:bodyDiv w:val="1"/>
      <w:marLeft w:val="0"/>
      <w:marRight w:val="0"/>
      <w:marTop w:val="0"/>
      <w:marBottom w:val="0"/>
      <w:divBdr>
        <w:top w:val="none" w:sz="0" w:space="0" w:color="auto"/>
        <w:left w:val="none" w:sz="0" w:space="0" w:color="auto"/>
        <w:bottom w:val="none" w:sz="0" w:space="0" w:color="auto"/>
        <w:right w:val="none" w:sz="0" w:space="0" w:color="auto"/>
      </w:divBdr>
    </w:div>
    <w:div w:id="223026318">
      <w:bodyDiv w:val="1"/>
      <w:marLeft w:val="0"/>
      <w:marRight w:val="0"/>
      <w:marTop w:val="0"/>
      <w:marBottom w:val="0"/>
      <w:divBdr>
        <w:top w:val="none" w:sz="0" w:space="0" w:color="auto"/>
        <w:left w:val="none" w:sz="0" w:space="0" w:color="auto"/>
        <w:bottom w:val="none" w:sz="0" w:space="0" w:color="auto"/>
        <w:right w:val="none" w:sz="0" w:space="0" w:color="auto"/>
      </w:divBdr>
    </w:div>
    <w:div w:id="223227218">
      <w:bodyDiv w:val="1"/>
      <w:marLeft w:val="0"/>
      <w:marRight w:val="0"/>
      <w:marTop w:val="0"/>
      <w:marBottom w:val="0"/>
      <w:divBdr>
        <w:top w:val="none" w:sz="0" w:space="0" w:color="auto"/>
        <w:left w:val="none" w:sz="0" w:space="0" w:color="auto"/>
        <w:bottom w:val="none" w:sz="0" w:space="0" w:color="auto"/>
        <w:right w:val="none" w:sz="0" w:space="0" w:color="auto"/>
      </w:divBdr>
    </w:div>
    <w:div w:id="223679739">
      <w:bodyDiv w:val="1"/>
      <w:marLeft w:val="0"/>
      <w:marRight w:val="0"/>
      <w:marTop w:val="0"/>
      <w:marBottom w:val="0"/>
      <w:divBdr>
        <w:top w:val="none" w:sz="0" w:space="0" w:color="auto"/>
        <w:left w:val="none" w:sz="0" w:space="0" w:color="auto"/>
        <w:bottom w:val="none" w:sz="0" w:space="0" w:color="auto"/>
        <w:right w:val="none" w:sz="0" w:space="0" w:color="auto"/>
      </w:divBdr>
    </w:div>
    <w:div w:id="224147998">
      <w:bodyDiv w:val="1"/>
      <w:marLeft w:val="0"/>
      <w:marRight w:val="0"/>
      <w:marTop w:val="0"/>
      <w:marBottom w:val="0"/>
      <w:divBdr>
        <w:top w:val="none" w:sz="0" w:space="0" w:color="auto"/>
        <w:left w:val="none" w:sz="0" w:space="0" w:color="auto"/>
        <w:bottom w:val="none" w:sz="0" w:space="0" w:color="auto"/>
        <w:right w:val="none" w:sz="0" w:space="0" w:color="auto"/>
      </w:divBdr>
    </w:div>
    <w:div w:id="225652948">
      <w:bodyDiv w:val="1"/>
      <w:marLeft w:val="0"/>
      <w:marRight w:val="0"/>
      <w:marTop w:val="0"/>
      <w:marBottom w:val="0"/>
      <w:divBdr>
        <w:top w:val="none" w:sz="0" w:space="0" w:color="auto"/>
        <w:left w:val="none" w:sz="0" w:space="0" w:color="auto"/>
        <w:bottom w:val="none" w:sz="0" w:space="0" w:color="auto"/>
        <w:right w:val="none" w:sz="0" w:space="0" w:color="auto"/>
      </w:divBdr>
    </w:div>
    <w:div w:id="226113873">
      <w:bodyDiv w:val="1"/>
      <w:marLeft w:val="0"/>
      <w:marRight w:val="0"/>
      <w:marTop w:val="0"/>
      <w:marBottom w:val="0"/>
      <w:divBdr>
        <w:top w:val="none" w:sz="0" w:space="0" w:color="auto"/>
        <w:left w:val="none" w:sz="0" w:space="0" w:color="auto"/>
        <w:bottom w:val="none" w:sz="0" w:space="0" w:color="auto"/>
        <w:right w:val="none" w:sz="0" w:space="0" w:color="auto"/>
      </w:divBdr>
    </w:div>
    <w:div w:id="229659059">
      <w:bodyDiv w:val="1"/>
      <w:marLeft w:val="0"/>
      <w:marRight w:val="0"/>
      <w:marTop w:val="0"/>
      <w:marBottom w:val="0"/>
      <w:divBdr>
        <w:top w:val="none" w:sz="0" w:space="0" w:color="auto"/>
        <w:left w:val="none" w:sz="0" w:space="0" w:color="auto"/>
        <w:bottom w:val="none" w:sz="0" w:space="0" w:color="auto"/>
        <w:right w:val="none" w:sz="0" w:space="0" w:color="auto"/>
      </w:divBdr>
    </w:div>
    <w:div w:id="232087337">
      <w:bodyDiv w:val="1"/>
      <w:marLeft w:val="0"/>
      <w:marRight w:val="0"/>
      <w:marTop w:val="0"/>
      <w:marBottom w:val="0"/>
      <w:divBdr>
        <w:top w:val="none" w:sz="0" w:space="0" w:color="auto"/>
        <w:left w:val="none" w:sz="0" w:space="0" w:color="auto"/>
        <w:bottom w:val="none" w:sz="0" w:space="0" w:color="auto"/>
        <w:right w:val="none" w:sz="0" w:space="0" w:color="auto"/>
      </w:divBdr>
    </w:div>
    <w:div w:id="237329081">
      <w:bodyDiv w:val="1"/>
      <w:marLeft w:val="0"/>
      <w:marRight w:val="0"/>
      <w:marTop w:val="0"/>
      <w:marBottom w:val="0"/>
      <w:divBdr>
        <w:top w:val="none" w:sz="0" w:space="0" w:color="auto"/>
        <w:left w:val="none" w:sz="0" w:space="0" w:color="auto"/>
        <w:bottom w:val="none" w:sz="0" w:space="0" w:color="auto"/>
        <w:right w:val="none" w:sz="0" w:space="0" w:color="auto"/>
      </w:divBdr>
    </w:div>
    <w:div w:id="238254114">
      <w:bodyDiv w:val="1"/>
      <w:marLeft w:val="0"/>
      <w:marRight w:val="0"/>
      <w:marTop w:val="0"/>
      <w:marBottom w:val="0"/>
      <w:divBdr>
        <w:top w:val="none" w:sz="0" w:space="0" w:color="auto"/>
        <w:left w:val="none" w:sz="0" w:space="0" w:color="auto"/>
        <w:bottom w:val="none" w:sz="0" w:space="0" w:color="auto"/>
        <w:right w:val="none" w:sz="0" w:space="0" w:color="auto"/>
      </w:divBdr>
    </w:div>
    <w:div w:id="238292439">
      <w:bodyDiv w:val="1"/>
      <w:marLeft w:val="0"/>
      <w:marRight w:val="0"/>
      <w:marTop w:val="0"/>
      <w:marBottom w:val="0"/>
      <w:divBdr>
        <w:top w:val="none" w:sz="0" w:space="0" w:color="auto"/>
        <w:left w:val="none" w:sz="0" w:space="0" w:color="auto"/>
        <w:bottom w:val="none" w:sz="0" w:space="0" w:color="auto"/>
        <w:right w:val="none" w:sz="0" w:space="0" w:color="auto"/>
      </w:divBdr>
    </w:div>
    <w:div w:id="238557947">
      <w:bodyDiv w:val="1"/>
      <w:marLeft w:val="0"/>
      <w:marRight w:val="0"/>
      <w:marTop w:val="0"/>
      <w:marBottom w:val="0"/>
      <w:divBdr>
        <w:top w:val="none" w:sz="0" w:space="0" w:color="auto"/>
        <w:left w:val="none" w:sz="0" w:space="0" w:color="auto"/>
        <w:bottom w:val="none" w:sz="0" w:space="0" w:color="auto"/>
        <w:right w:val="none" w:sz="0" w:space="0" w:color="auto"/>
      </w:divBdr>
    </w:div>
    <w:div w:id="238560304">
      <w:bodyDiv w:val="1"/>
      <w:marLeft w:val="0"/>
      <w:marRight w:val="0"/>
      <w:marTop w:val="0"/>
      <w:marBottom w:val="0"/>
      <w:divBdr>
        <w:top w:val="none" w:sz="0" w:space="0" w:color="auto"/>
        <w:left w:val="none" w:sz="0" w:space="0" w:color="auto"/>
        <w:bottom w:val="none" w:sz="0" w:space="0" w:color="auto"/>
        <w:right w:val="none" w:sz="0" w:space="0" w:color="auto"/>
      </w:divBdr>
    </w:div>
    <w:div w:id="240799706">
      <w:bodyDiv w:val="1"/>
      <w:marLeft w:val="0"/>
      <w:marRight w:val="0"/>
      <w:marTop w:val="0"/>
      <w:marBottom w:val="0"/>
      <w:divBdr>
        <w:top w:val="none" w:sz="0" w:space="0" w:color="auto"/>
        <w:left w:val="none" w:sz="0" w:space="0" w:color="auto"/>
        <w:bottom w:val="none" w:sz="0" w:space="0" w:color="auto"/>
        <w:right w:val="none" w:sz="0" w:space="0" w:color="auto"/>
      </w:divBdr>
    </w:div>
    <w:div w:id="244799879">
      <w:bodyDiv w:val="1"/>
      <w:marLeft w:val="0"/>
      <w:marRight w:val="0"/>
      <w:marTop w:val="0"/>
      <w:marBottom w:val="0"/>
      <w:divBdr>
        <w:top w:val="none" w:sz="0" w:space="0" w:color="auto"/>
        <w:left w:val="none" w:sz="0" w:space="0" w:color="auto"/>
        <w:bottom w:val="none" w:sz="0" w:space="0" w:color="auto"/>
        <w:right w:val="none" w:sz="0" w:space="0" w:color="auto"/>
      </w:divBdr>
    </w:div>
    <w:div w:id="247616253">
      <w:bodyDiv w:val="1"/>
      <w:marLeft w:val="0"/>
      <w:marRight w:val="0"/>
      <w:marTop w:val="0"/>
      <w:marBottom w:val="0"/>
      <w:divBdr>
        <w:top w:val="none" w:sz="0" w:space="0" w:color="auto"/>
        <w:left w:val="none" w:sz="0" w:space="0" w:color="auto"/>
        <w:bottom w:val="none" w:sz="0" w:space="0" w:color="auto"/>
        <w:right w:val="none" w:sz="0" w:space="0" w:color="auto"/>
      </w:divBdr>
    </w:div>
    <w:div w:id="249242508">
      <w:bodyDiv w:val="1"/>
      <w:marLeft w:val="0"/>
      <w:marRight w:val="0"/>
      <w:marTop w:val="0"/>
      <w:marBottom w:val="0"/>
      <w:divBdr>
        <w:top w:val="none" w:sz="0" w:space="0" w:color="auto"/>
        <w:left w:val="none" w:sz="0" w:space="0" w:color="auto"/>
        <w:bottom w:val="none" w:sz="0" w:space="0" w:color="auto"/>
        <w:right w:val="none" w:sz="0" w:space="0" w:color="auto"/>
      </w:divBdr>
    </w:div>
    <w:div w:id="249320355">
      <w:bodyDiv w:val="1"/>
      <w:marLeft w:val="0"/>
      <w:marRight w:val="0"/>
      <w:marTop w:val="0"/>
      <w:marBottom w:val="0"/>
      <w:divBdr>
        <w:top w:val="none" w:sz="0" w:space="0" w:color="auto"/>
        <w:left w:val="none" w:sz="0" w:space="0" w:color="auto"/>
        <w:bottom w:val="none" w:sz="0" w:space="0" w:color="auto"/>
        <w:right w:val="none" w:sz="0" w:space="0" w:color="auto"/>
      </w:divBdr>
    </w:div>
    <w:div w:id="250433737">
      <w:bodyDiv w:val="1"/>
      <w:marLeft w:val="0"/>
      <w:marRight w:val="0"/>
      <w:marTop w:val="0"/>
      <w:marBottom w:val="0"/>
      <w:divBdr>
        <w:top w:val="none" w:sz="0" w:space="0" w:color="auto"/>
        <w:left w:val="none" w:sz="0" w:space="0" w:color="auto"/>
        <w:bottom w:val="none" w:sz="0" w:space="0" w:color="auto"/>
        <w:right w:val="none" w:sz="0" w:space="0" w:color="auto"/>
      </w:divBdr>
    </w:div>
    <w:div w:id="251939234">
      <w:bodyDiv w:val="1"/>
      <w:marLeft w:val="0"/>
      <w:marRight w:val="0"/>
      <w:marTop w:val="0"/>
      <w:marBottom w:val="0"/>
      <w:divBdr>
        <w:top w:val="none" w:sz="0" w:space="0" w:color="auto"/>
        <w:left w:val="none" w:sz="0" w:space="0" w:color="auto"/>
        <w:bottom w:val="none" w:sz="0" w:space="0" w:color="auto"/>
        <w:right w:val="none" w:sz="0" w:space="0" w:color="auto"/>
      </w:divBdr>
    </w:div>
    <w:div w:id="253170131">
      <w:bodyDiv w:val="1"/>
      <w:marLeft w:val="0"/>
      <w:marRight w:val="0"/>
      <w:marTop w:val="0"/>
      <w:marBottom w:val="0"/>
      <w:divBdr>
        <w:top w:val="none" w:sz="0" w:space="0" w:color="auto"/>
        <w:left w:val="none" w:sz="0" w:space="0" w:color="auto"/>
        <w:bottom w:val="none" w:sz="0" w:space="0" w:color="auto"/>
        <w:right w:val="none" w:sz="0" w:space="0" w:color="auto"/>
      </w:divBdr>
    </w:div>
    <w:div w:id="255286164">
      <w:bodyDiv w:val="1"/>
      <w:marLeft w:val="0"/>
      <w:marRight w:val="0"/>
      <w:marTop w:val="0"/>
      <w:marBottom w:val="0"/>
      <w:divBdr>
        <w:top w:val="none" w:sz="0" w:space="0" w:color="auto"/>
        <w:left w:val="none" w:sz="0" w:space="0" w:color="auto"/>
        <w:bottom w:val="none" w:sz="0" w:space="0" w:color="auto"/>
        <w:right w:val="none" w:sz="0" w:space="0" w:color="auto"/>
      </w:divBdr>
    </w:div>
    <w:div w:id="255941212">
      <w:bodyDiv w:val="1"/>
      <w:marLeft w:val="0"/>
      <w:marRight w:val="0"/>
      <w:marTop w:val="0"/>
      <w:marBottom w:val="0"/>
      <w:divBdr>
        <w:top w:val="none" w:sz="0" w:space="0" w:color="auto"/>
        <w:left w:val="none" w:sz="0" w:space="0" w:color="auto"/>
        <w:bottom w:val="none" w:sz="0" w:space="0" w:color="auto"/>
        <w:right w:val="none" w:sz="0" w:space="0" w:color="auto"/>
      </w:divBdr>
    </w:div>
    <w:div w:id="261569272">
      <w:bodyDiv w:val="1"/>
      <w:marLeft w:val="0"/>
      <w:marRight w:val="0"/>
      <w:marTop w:val="0"/>
      <w:marBottom w:val="0"/>
      <w:divBdr>
        <w:top w:val="none" w:sz="0" w:space="0" w:color="auto"/>
        <w:left w:val="none" w:sz="0" w:space="0" w:color="auto"/>
        <w:bottom w:val="none" w:sz="0" w:space="0" w:color="auto"/>
        <w:right w:val="none" w:sz="0" w:space="0" w:color="auto"/>
      </w:divBdr>
    </w:div>
    <w:div w:id="262686590">
      <w:bodyDiv w:val="1"/>
      <w:marLeft w:val="0"/>
      <w:marRight w:val="0"/>
      <w:marTop w:val="0"/>
      <w:marBottom w:val="0"/>
      <w:divBdr>
        <w:top w:val="none" w:sz="0" w:space="0" w:color="auto"/>
        <w:left w:val="none" w:sz="0" w:space="0" w:color="auto"/>
        <w:bottom w:val="none" w:sz="0" w:space="0" w:color="auto"/>
        <w:right w:val="none" w:sz="0" w:space="0" w:color="auto"/>
      </w:divBdr>
    </w:div>
    <w:div w:id="262735604">
      <w:bodyDiv w:val="1"/>
      <w:marLeft w:val="0"/>
      <w:marRight w:val="0"/>
      <w:marTop w:val="0"/>
      <w:marBottom w:val="0"/>
      <w:divBdr>
        <w:top w:val="none" w:sz="0" w:space="0" w:color="auto"/>
        <w:left w:val="none" w:sz="0" w:space="0" w:color="auto"/>
        <w:bottom w:val="none" w:sz="0" w:space="0" w:color="auto"/>
        <w:right w:val="none" w:sz="0" w:space="0" w:color="auto"/>
      </w:divBdr>
    </w:div>
    <w:div w:id="262962549">
      <w:bodyDiv w:val="1"/>
      <w:marLeft w:val="0"/>
      <w:marRight w:val="0"/>
      <w:marTop w:val="0"/>
      <w:marBottom w:val="0"/>
      <w:divBdr>
        <w:top w:val="none" w:sz="0" w:space="0" w:color="auto"/>
        <w:left w:val="none" w:sz="0" w:space="0" w:color="auto"/>
        <w:bottom w:val="none" w:sz="0" w:space="0" w:color="auto"/>
        <w:right w:val="none" w:sz="0" w:space="0" w:color="auto"/>
      </w:divBdr>
    </w:div>
    <w:div w:id="267197546">
      <w:bodyDiv w:val="1"/>
      <w:marLeft w:val="0"/>
      <w:marRight w:val="0"/>
      <w:marTop w:val="0"/>
      <w:marBottom w:val="0"/>
      <w:divBdr>
        <w:top w:val="none" w:sz="0" w:space="0" w:color="auto"/>
        <w:left w:val="none" w:sz="0" w:space="0" w:color="auto"/>
        <w:bottom w:val="none" w:sz="0" w:space="0" w:color="auto"/>
        <w:right w:val="none" w:sz="0" w:space="0" w:color="auto"/>
      </w:divBdr>
    </w:div>
    <w:div w:id="267474475">
      <w:bodyDiv w:val="1"/>
      <w:marLeft w:val="0"/>
      <w:marRight w:val="0"/>
      <w:marTop w:val="0"/>
      <w:marBottom w:val="0"/>
      <w:divBdr>
        <w:top w:val="none" w:sz="0" w:space="0" w:color="auto"/>
        <w:left w:val="none" w:sz="0" w:space="0" w:color="auto"/>
        <w:bottom w:val="none" w:sz="0" w:space="0" w:color="auto"/>
        <w:right w:val="none" w:sz="0" w:space="0" w:color="auto"/>
      </w:divBdr>
    </w:div>
    <w:div w:id="268784355">
      <w:bodyDiv w:val="1"/>
      <w:marLeft w:val="0"/>
      <w:marRight w:val="0"/>
      <w:marTop w:val="0"/>
      <w:marBottom w:val="0"/>
      <w:divBdr>
        <w:top w:val="none" w:sz="0" w:space="0" w:color="auto"/>
        <w:left w:val="none" w:sz="0" w:space="0" w:color="auto"/>
        <w:bottom w:val="none" w:sz="0" w:space="0" w:color="auto"/>
        <w:right w:val="none" w:sz="0" w:space="0" w:color="auto"/>
      </w:divBdr>
    </w:div>
    <w:div w:id="269237577">
      <w:bodyDiv w:val="1"/>
      <w:marLeft w:val="0"/>
      <w:marRight w:val="0"/>
      <w:marTop w:val="0"/>
      <w:marBottom w:val="0"/>
      <w:divBdr>
        <w:top w:val="none" w:sz="0" w:space="0" w:color="auto"/>
        <w:left w:val="none" w:sz="0" w:space="0" w:color="auto"/>
        <w:bottom w:val="none" w:sz="0" w:space="0" w:color="auto"/>
        <w:right w:val="none" w:sz="0" w:space="0" w:color="auto"/>
      </w:divBdr>
    </w:div>
    <w:div w:id="270168694">
      <w:bodyDiv w:val="1"/>
      <w:marLeft w:val="0"/>
      <w:marRight w:val="0"/>
      <w:marTop w:val="0"/>
      <w:marBottom w:val="0"/>
      <w:divBdr>
        <w:top w:val="none" w:sz="0" w:space="0" w:color="auto"/>
        <w:left w:val="none" w:sz="0" w:space="0" w:color="auto"/>
        <w:bottom w:val="none" w:sz="0" w:space="0" w:color="auto"/>
        <w:right w:val="none" w:sz="0" w:space="0" w:color="auto"/>
      </w:divBdr>
    </w:div>
    <w:div w:id="273295942">
      <w:bodyDiv w:val="1"/>
      <w:marLeft w:val="0"/>
      <w:marRight w:val="0"/>
      <w:marTop w:val="0"/>
      <w:marBottom w:val="0"/>
      <w:divBdr>
        <w:top w:val="none" w:sz="0" w:space="0" w:color="auto"/>
        <w:left w:val="none" w:sz="0" w:space="0" w:color="auto"/>
        <w:bottom w:val="none" w:sz="0" w:space="0" w:color="auto"/>
        <w:right w:val="none" w:sz="0" w:space="0" w:color="auto"/>
      </w:divBdr>
    </w:div>
    <w:div w:id="273557622">
      <w:bodyDiv w:val="1"/>
      <w:marLeft w:val="0"/>
      <w:marRight w:val="0"/>
      <w:marTop w:val="0"/>
      <w:marBottom w:val="0"/>
      <w:divBdr>
        <w:top w:val="none" w:sz="0" w:space="0" w:color="auto"/>
        <w:left w:val="none" w:sz="0" w:space="0" w:color="auto"/>
        <w:bottom w:val="none" w:sz="0" w:space="0" w:color="auto"/>
        <w:right w:val="none" w:sz="0" w:space="0" w:color="auto"/>
      </w:divBdr>
    </w:div>
    <w:div w:id="276762817">
      <w:bodyDiv w:val="1"/>
      <w:marLeft w:val="0"/>
      <w:marRight w:val="0"/>
      <w:marTop w:val="0"/>
      <w:marBottom w:val="0"/>
      <w:divBdr>
        <w:top w:val="none" w:sz="0" w:space="0" w:color="auto"/>
        <w:left w:val="none" w:sz="0" w:space="0" w:color="auto"/>
        <w:bottom w:val="none" w:sz="0" w:space="0" w:color="auto"/>
        <w:right w:val="none" w:sz="0" w:space="0" w:color="auto"/>
      </w:divBdr>
    </w:div>
    <w:div w:id="277611197">
      <w:bodyDiv w:val="1"/>
      <w:marLeft w:val="0"/>
      <w:marRight w:val="0"/>
      <w:marTop w:val="0"/>
      <w:marBottom w:val="0"/>
      <w:divBdr>
        <w:top w:val="none" w:sz="0" w:space="0" w:color="auto"/>
        <w:left w:val="none" w:sz="0" w:space="0" w:color="auto"/>
        <w:bottom w:val="none" w:sz="0" w:space="0" w:color="auto"/>
        <w:right w:val="none" w:sz="0" w:space="0" w:color="auto"/>
      </w:divBdr>
    </w:div>
    <w:div w:id="281811765">
      <w:bodyDiv w:val="1"/>
      <w:marLeft w:val="0"/>
      <w:marRight w:val="0"/>
      <w:marTop w:val="0"/>
      <w:marBottom w:val="0"/>
      <w:divBdr>
        <w:top w:val="none" w:sz="0" w:space="0" w:color="auto"/>
        <w:left w:val="none" w:sz="0" w:space="0" w:color="auto"/>
        <w:bottom w:val="none" w:sz="0" w:space="0" w:color="auto"/>
        <w:right w:val="none" w:sz="0" w:space="0" w:color="auto"/>
      </w:divBdr>
    </w:div>
    <w:div w:id="282149755">
      <w:bodyDiv w:val="1"/>
      <w:marLeft w:val="0"/>
      <w:marRight w:val="0"/>
      <w:marTop w:val="0"/>
      <w:marBottom w:val="0"/>
      <w:divBdr>
        <w:top w:val="none" w:sz="0" w:space="0" w:color="auto"/>
        <w:left w:val="none" w:sz="0" w:space="0" w:color="auto"/>
        <w:bottom w:val="none" w:sz="0" w:space="0" w:color="auto"/>
        <w:right w:val="none" w:sz="0" w:space="0" w:color="auto"/>
      </w:divBdr>
    </w:div>
    <w:div w:id="282272030">
      <w:bodyDiv w:val="1"/>
      <w:marLeft w:val="0"/>
      <w:marRight w:val="0"/>
      <w:marTop w:val="0"/>
      <w:marBottom w:val="0"/>
      <w:divBdr>
        <w:top w:val="none" w:sz="0" w:space="0" w:color="auto"/>
        <w:left w:val="none" w:sz="0" w:space="0" w:color="auto"/>
        <w:bottom w:val="none" w:sz="0" w:space="0" w:color="auto"/>
        <w:right w:val="none" w:sz="0" w:space="0" w:color="auto"/>
      </w:divBdr>
    </w:div>
    <w:div w:id="287245054">
      <w:bodyDiv w:val="1"/>
      <w:marLeft w:val="0"/>
      <w:marRight w:val="0"/>
      <w:marTop w:val="0"/>
      <w:marBottom w:val="0"/>
      <w:divBdr>
        <w:top w:val="none" w:sz="0" w:space="0" w:color="auto"/>
        <w:left w:val="none" w:sz="0" w:space="0" w:color="auto"/>
        <w:bottom w:val="none" w:sz="0" w:space="0" w:color="auto"/>
        <w:right w:val="none" w:sz="0" w:space="0" w:color="auto"/>
      </w:divBdr>
    </w:div>
    <w:div w:id="287707747">
      <w:bodyDiv w:val="1"/>
      <w:marLeft w:val="0"/>
      <w:marRight w:val="0"/>
      <w:marTop w:val="0"/>
      <w:marBottom w:val="0"/>
      <w:divBdr>
        <w:top w:val="none" w:sz="0" w:space="0" w:color="auto"/>
        <w:left w:val="none" w:sz="0" w:space="0" w:color="auto"/>
        <w:bottom w:val="none" w:sz="0" w:space="0" w:color="auto"/>
        <w:right w:val="none" w:sz="0" w:space="0" w:color="auto"/>
      </w:divBdr>
    </w:div>
    <w:div w:id="288166930">
      <w:bodyDiv w:val="1"/>
      <w:marLeft w:val="0"/>
      <w:marRight w:val="0"/>
      <w:marTop w:val="0"/>
      <w:marBottom w:val="0"/>
      <w:divBdr>
        <w:top w:val="none" w:sz="0" w:space="0" w:color="auto"/>
        <w:left w:val="none" w:sz="0" w:space="0" w:color="auto"/>
        <w:bottom w:val="none" w:sz="0" w:space="0" w:color="auto"/>
        <w:right w:val="none" w:sz="0" w:space="0" w:color="auto"/>
      </w:divBdr>
    </w:div>
    <w:div w:id="288556536">
      <w:bodyDiv w:val="1"/>
      <w:marLeft w:val="0"/>
      <w:marRight w:val="0"/>
      <w:marTop w:val="0"/>
      <w:marBottom w:val="0"/>
      <w:divBdr>
        <w:top w:val="none" w:sz="0" w:space="0" w:color="auto"/>
        <w:left w:val="none" w:sz="0" w:space="0" w:color="auto"/>
        <w:bottom w:val="none" w:sz="0" w:space="0" w:color="auto"/>
        <w:right w:val="none" w:sz="0" w:space="0" w:color="auto"/>
      </w:divBdr>
    </w:div>
    <w:div w:id="296647489">
      <w:bodyDiv w:val="1"/>
      <w:marLeft w:val="0"/>
      <w:marRight w:val="0"/>
      <w:marTop w:val="0"/>
      <w:marBottom w:val="0"/>
      <w:divBdr>
        <w:top w:val="none" w:sz="0" w:space="0" w:color="auto"/>
        <w:left w:val="none" w:sz="0" w:space="0" w:color="auto"/>
        <w:bottom w:val="none" w:sz="0" w:space="0" w:color="auto"/>
        <w:right w:val="none" w:sz="0" w:space="0" w:color="auto"/>
      </w:divBdr>
    </w:div>
    <w:div w:id="297730442">
      <w:bodyDiv w:val="1"/>
      <w:marLeft w:val="0"/>
      <w:marRight w:val="0"/>
      <w:marTop w:val="0"/>
      <w:marBottom w:val="0"/>
      <w:divBdr>
        <w:top w:val="none" w:sz="0" w:space="0" w:color="auto"/>
        <w:left w:val="none" w:sz="0" w:space="0" w:color="auto"/>
        <w:bottom w:val="none" w:sz="0" w:space="0" w:color="auto"/>
        <w:right w:val="none" w:sz="0" w:space="0" w:color="auto"/>
      </w:divBdr>
    </w:div>
    <w:div w:id="299696688">
      <w:bodyDiv w:val="1"/>
      <w:marLeft w:val="0"/>
      <w:marRight w:val="0"/>
      <w:marTop w:val="0"/>
      <w:marBottom w:val="0"/>
      <w:divBdr>
        <w:top w:val="none" w:sz="0" w:space="0" w:color="auto"/>
        <w:left w:val="none" w:sz="0" w:space="0" w:color="auto"/>
        <w:bottom w:val="none" w:sz="0" w:space="0" w:color="auto"/>
        <w:right w:val="none" w:sz="0" w:space="0" w:color="auto"/>
      </w:divBdr>
    </w:div>
    <w:div w:id="303126577">
      <w:bodyDiv w:val="1"/>
      <w:marLeft w:val="0"/>
      <w:marRight w:val="0"/>
      <w:marTop w:val="0"/>
      <w:marBottom w:val="0"/>
      <w:divBdr>
        <w:top w:val="none" w:sz="0" w:space="0" w:color="auto"/>
        <w:left w:val="none" w:sz="0" w:space="0" w:color="auto"/>
        <w:bottom w:val="none" w:sz="0" w:space="0" w:color="auto"/>
        <w:right w:val="none" w:sz="0" w:space="0" w:color="auto"/>
      </w:divBdr>
    </w:div>
    <w:div w:id="305549848">
      <w:bodyDiv w:val="1"/>
      <w:marLeft w:val="0"/>
      <w:marRight w:val="0"/>
      <w:marTop w:val="0"/>
      <w:marBottom w:val="0"/>
      <w:divBdr>
        <w:top w:val="none" w:sz="0" w:space="0" w:color="auto"/>
        <w:left w:val="none" w:sz="0" w:space="0" w:color="auto"/>
        <w:bottom w:val="none" w:sz="0" w:space="0" w:color="auto"/>
        <w:right w:val="none" w:sz="0" w:space="0" w:color="auto"/>
      </w:divBdr>
    </w:div>
    <w:div w:id="307975490">
      <w:bodyDiv w:val="1"/>
      <w:marLeft w:val="0"/>
      <w:marRight w:val="0"/>
      <w:marTop w:val="0"/>
      <w:marBottom w:val="0"/>
      <w:divBdr>
        <w:top w:val="none" w:sz="0" w:space="0" w:color="auto"/>
        <w:left w:val="none" w:sz="0" w:space="0" w:color="auto"/>
        <w:bottom w:val="none" w:sz="0" w:space="0" w:color="auto"/>
        <w:right w:val="none" w:sz="0" w:space="0" w:color="auto"/>
      </w:divBdr>
    </w:div>
    <w:div w:id="310981651">
      <w:bodyDiv w:val="1"/>
      <w:marLeft w:val="0"/>
      <w:marRight w:val="0"/>
      <w:marTop w:val="0"/>
      <w:marBottom w:val="0"/>
      <w:divBdr>
        <w:top w:val="none" w:sz="0" w:space="0" w:color="auto"/>
        <w:left w:val="none" w:sz="0" w:space="0" w:color="auto"/>
        <w:bottom w:val="none" w:sz="0" w:space="0" w:color="auto"/>
        <w:right w:val="none" w:sz="0" w:space="0" w:color="auto"/>
      </w:divBdr>
    </w:div>
    <w:div w:id="315033520">
      <w:bodyDiv w:val="1"/>
      <w:marLeft w:val="0"/>
      <w:marRight w:val="0"/>
      <w:marTop w:val="0"/>
      <w:marBottom w:val="0"/>
      <w:divBdr>
        <w:top w:val="none" w:sz="0" w:space="0" w:color="auto"/>
        <w:left w:val="none" w:sz="0" w:space="0" w:color="auto"/>
        <w:bottom w:val="none" w:sz="0" w:space="0" w:color="auto"/>
        <w:right w:val="none" w:sz="0" w:space="0" w:color="auto"/>
      </w:divBdr>
    </w:div>
    <w:div w:id="315382883">
      <w:bodyDiv w:val="1"/>
      <w:marLeft w:val="0"/>
      <w:marRight w:val="0"/>
      <w:marTop w:val="0"/>
      <w:marBottom w:val="0"/>
      <w:divBdr>
        <w:top w:val="none" w:sz="0" w:space="0" w:color="auto"/>
        <w:left w:val="none" w:sz="0" w:space="0" w:color="auto"/>
        <w:bottom w:val="none" w:sz="0" w:space="0" w:color="auto"/>
        <w:right w:val="none" w:sz="0" w:space="0" w:color="auto"/>
      </w:divBdr>
    </w:div>
    <w:div w:id="315498320">
      <w:bodyDiv w:val="1"/>
      <w:marLeft w:val="0"/>
      <w:marRight w:val="0"/>
      <w:marTop w:val="0"/>
      <w:marBottom w:val="0"/>
      <w:divBdr>
        <w:top w:val="none" w:sz="0" w:space="0" w:color="auto"/>
        <w:left w:val="none" w:sz="0" w:space="0" w:color="auto"/>
        <w:bottom w:val="none" w:sz="0" w:space="0" w:color="auto"/>
        <w:right w:val="none" w:sz="0" w:space="0" w:color="auto"/>
      </w:divBdr>
    </w:div>
    <w:div w:id="319116196">
      <w:bodyDiv w:val="1"/>
      <w:marLeft w:val="0"/>
      <w:marRight w:val="0"/>
      <w:marTop w:val="0"/>
      <w:marBottom w:val="0"/>
      <w:divBdr>
        <w:top w:val="none" w:sz="0" w:space="0" w:color="auto"/>
        <w:left w:val="none" w:sz="0" w:space="0" w:color="auto"/>
        <w:bottom w:val="none" w:sz="0" w:space="0" w:color="auto"/>
        <w:right w:val="none" w:sz="0" w:space="0" w:color="auto"/>
      </w:divBdr>
    </w:div>
    <w:div w:id="319425092">
      <w:bodyDiv w:val="1"/>
      <w:marLeft w:val="0"/>
      <w:marRight w:val="0"/>
      <w:marTop w:val="0"/>
      <w:marBottom w:val="0"/>
      <w:divBdr>
        <w:top w:val="none" w:sz="0" w:space="0" w:color="auto"/>
        <w:left w:val="none" w:sz="0" w:space="0" w:color="auto"/>
        <w:bottom w:val="none" w:sz="0" w:space="0" w:color="auto"/>
        <w:right w:val="none" w:sz="0" w:space="0" w:color="auto"/>
      </w:divBdr>
    </w:div>
    <w:div w:id="321853480">
      <w:bodyDiv w:val="1"/>
      <w:marLeft w:val="0"/>
      <w:marRight w:val="0"/>
      <w:marTop w:val="0"/>
      <w:marBottom w:val="0"/>
      <w:divBdr>
        <w:top w:val="none" w:sz="0" w:space="0" w:color="auto"/>
        <w:left w:val="none" w:sz="0" w:space="0" w:color="auto"/>
        <w:bottom w:val="none" w:sz="0" w:space="0" w:color="auto"/>
        <w:right w:val="none" w:sz="0" w:space="0" w:color="auto"/>
      </w:divBdr>
    </w:div>
    <w:div w:id="324162381">
      <w:bodyDiv w:val="1"/>
      <w:marLeft w:val="0"/>
      <w:marRight w:val="0"/>
      <w:marTop w:val="0"/>
      <w:marBottom w:val="0"/>
      <w:divBdr>
        <w:top w:val="none" w:sz="0" w:space="0" w:color="auto"/>
        <w:left w:val="none" w:sz="0" w:space="0" w:color="auto"/>
        <w:bottom w:val="none" w:sz="0" w:space="0" w:color="auto"/>
        <w:right w:val="none" w:sz="0" w:space="0" w:color="auto"/>
      </w:divBdr>
    </w:div>
    <w:div w:id="324364902">
      <w:bodyDiv w:val="1"/>
      <w:marLeft w:val="0"/>
      <w:marRight w:val="0"/>
      <w:marTop w:val="0"/>
      <w:marBottom w:val="0"/>
      <w:divBdr>
        <w:top w:val="none" w:sz="0" w:space="0" w:color="auto"/>
        <w:left w:val="none" w:sz="0" w:space="0" w:color="auto"/>
        <w:bottom w:val="none" w:sz="0" w:space="0" w:color="auto"/>
        <w:right w:val="none" w:sz="0" w:space="0" w:color="auto"/>
      </w:divBdr>
    </w:div>
    <w:div w:id="325016557">
      <w:bodyDiv w:val="1"/>
      <w:marLeft w:val="0"/>
      <w:marRight w:val="0"/>
      <w:marTop w:val="0"/>
      <w:marBottom w:val="0"/>
      <w:divBdr>
        <w:top w:val="none" w:sz="0" w:space="0" w:color="auto"/>
        <w:left w:val="none" w:sz="0" w:space="0" w:color="auto"/>
        <w:bottom w:val="none" w:sz="0" w:space="0" w:color="auto"/>
        <w:right w:val="none" w:sz="0" w:space="0" w:color="auto"/>
      </w:divBdr>
    </w:div>
    <w:div w:id="325321906">
      <w:bodyDiv w:val="1"/>
      <w:marLeft w:val="0"/>
      <w:marRight w:val="0"/>
      <w:marTop w:val="0"/>
      <w:marBottom w:val="0"/>
      <w:divBdr>
        <w:top w:val="none" w:sz="0" w:space="0" w:color="auto"/>
        <w:left w:val="none" w:sz="0" w:space="0" w:color="auto"/>
        <w:bottom w:val="none" w:sz="0" w:space="0" w:color="auto"/>
        <w:right w:val="none" w:sz="0" w:space="0" w:color="auto"/>
      </w:divBdr>
    </w:div>
    <w:div w:id="325977102">
      <w:bodyDiv w:val="1"/>
      <w:marLeft w:val="0"/>
      <w:marRight w:val="0"/>
      <w:marTop w:val="0"/>
      <w:marBottom w:val="0"/>
      <w:divBdr>
        <w:top w:val="none" w:sz="0" w:space="0" w:color="auto"/>
        <w:left w:val="none" w:sz="0" w:space="0" w:color="auto"/>
        <w:bottom w:val="none" w:sz="0" w:space="0" w:color="auto"/>
        <w:right w:val="none" w:sz="0" w:space="0" w:color="auto"/>
      </w:divBdr>
    </w:div>
    <w:div w:id="327101301">
      <w:bodyDiv w:val="1"/>
      <w:marLeft w:val="0"/>
      <w:marRight w:val="0"/>
      <w:marTop w:val="0"/>
      <w:marBottom w:val="0"/>
      <w:divBdr>
        <w:top w:val="none" w:sz="0" w:space="0" w:color="auto"/>
        <w:left w:val="none" w:sz="0" w:space="0" w:color="auto"/>
        <w:bottom w:val="none" w:sz="0" w:space="0" w:color="auto"/>
        <w:right w:val="none" w:sz="0" w:space="0" w:color="auto"/>
      </w:divBdr>
    </w:div>
    <w:div w:id="327221833">
      <w:bodyDiv w:val="1"/>
      <w:marLeft w:val="0"/>
      <w:marRight w:val="0"/>
      <w:marTop w:val="0"/>
      <w:marBottom w:val="0"/>
      <w:divBdr>
        <w:top w:val="none" w:sz="0" w:space="0" w:color="auto"/>
        <w:left w:val="none" w:sz="0" w:space="0" w:color="auto"/>
        <w:bottom w:val="none" w:sz="0" w:space="0" w:color="auto"/>
        <w:right w:val="none" w:sz="0" w:space="0" w:color="auto"/>
      </w:divBdr>
    </w:div>
    <w:div w:id="327367829">
      <w:bodyDiv w:val="1"/>
      <w:marLeft w:val="0"/>
      <w:marRight w:val="0"/>
      <w:marTop w:val="0"/>
      <w:marBottom w:val="0"/>
      <w:divBdr>
        <w:top w:val="none" w:sz="0" w:space="0" w:color="auto"/>
        <w:left w:val="none" w:sz="0" w:space="0" w:color="auto"/>
        <w:bottom w:val="none" w:sz="0" w:space="0" w:color="auto"/>
        <w:right w:val="none" w:sz="0" w:space="0" w:color="auto"/>
      </w:divBdr>
    </w:div>
    <w:div w:id="329674970">
      <w:bodyDiv w:val="1"/>
      <w:marLeft w:val="0"/>
      <w:marRight w:val="0"/>
      <w:marTop w:val="0"/>
      <w:marBottom w:val="0"/>
      <w:divBdr>
        <w:top w:val="none" w:sz="0" w:space="0" w:color="auto"/>
        <w:left w:val="none" w:sz="0" w:space="0" w:color="auto"/>
        <w:bottom w:val="none" w:sz="0" w:space="0" w:color="auto"/>
        <w:right w:val="none" w:sz="0" w:space="0" w:color="auto"/>
      </w:divBdr>
    </w:div>
    <w:div w:id="330380220">
      <w:bodyDiv w:val="1"/>
      <w:marLeft w:val="0"/>
      <w:marRight w:val="0"/>
      <w:marTop w:val="0"/>
      <w:marBottom w:val="0"/>
      <w:divBdr>
        <w:top w:val="none" w:sz="0" w:space="0" w:color="auto"/>
        <w:left w:val="none" w:sz="0" w:space="0" w:color="auto"/>
        <w:bottom w:val="none" w:sz="0" w:space="0" w:color="auto"/>
        <w:right w:val="none" w:sz="0" w:space="0" w:color="auto"/>
      </w:divBdr>
    </w:div>
    <w:div w:id="330714927">
      <w:bodyDiv w:val="1"/>
      <w:marLeft w:val="0"/>
      <w:marRight w:val="0"/>
      <w:marTop w:val="0"/>
      <w:marBottom w:val="0"/>
      <w:divBdr>
        <w:top w:val="none" w:sz="0" w:space="0" w:color="auto"/>
        <w:left w:val="none" w:sz="0" w:space="0" w:color="auto"/>
        <w:bottom w:val="none" w:sz="0" w:space="0" w:color="auto"/>
        <w:right w:val="none" w:sz="0" w:space="0" w:color="auto"/>
      </w:divBdr>
    </w:div>
    <w:div w:id="331833393">
      <w:bodyDiv w:val="1"/>
      <w:marLeft w:val="0"/>
      <w:marRight w:val="0"/>
      <w:marTop w:val="0"/>
      <w:marBottom w:val="0"/>
      <w:divBdr>
        <w:top w:val="none" w:sz="0" w:space="0" w:color="auto"/>
        <w:left w:val="none" w:sz="0" w:space="0" w:color="auto"/>
        <w:bottom w:val="none" w:sz="0" w:space="0" w:color="auto"/>
        <w:right w:val="none" w:sz="0" w:space="0" w:color="auto"/>
      </w:divBdr>
    </w:div>
    <w:div w:id="332800212">
      <w:bodyDiv w:val="1"/>
      <w:marLeft w:val="0"/>
      <w:marRight w:val="0"/>
      <w:marTop w:val="0"/>
      <w:marBottom w:val="0"/>
      <w:divBdr>
        <w:top w:val="none" w:sz="0" w:space="0" w:color="auto"/>
        <w:left w:val="none" w:sz="0" w:space="0" w:color="auto"/>
        <w:bottom w:val="none" w:sz="0" w:space="0" w:color="auto"/>
        <w:right w:val="none" w:sz="0" w:space="0" w:color="auto"/>
      </w:divBdr>
    </w:div>
    <w:div w:id="335692678">
      <w:bodyDiv w:val="1"/>
      <w:marLeft w:val="0"/>
      <w:marRight w:val="0"/>
      <w:marTop w:val="0"/>
      <w:marBottom w:val="0"/>
      <w:divBdr>
        <w:top w:val="none" w:sz="0" w:space="0" w:color="auto"/>
        <w:left w:val="none" w:sz="0" w:space="0" w:color="auto"/>
        <w:bottom w:val="none" w:sz="0" w:space="0" w:color="auto"/>
        <w:right w:val="none" w:sz="0" w:space="0" w:color="auto"/>
      </w:divBdr>
    </w:div>
    <w:div w:id="335769580">
      <w:bodyDiv w:val="1"/>
      <w:marLeft w:val="0"/>
      <w:marRight w:val="0"/>
      <w:marTop w:val="0"/>
      <w:marBottom w:val="0"/>
      <w:divBdr>
        <w:top w:val="none" w:sz="0" w:space="0" w:color="auto"/>
        <w:left w:val="none" w:sz="0" w:space="0" w:color="auto"/>
        <w:bottom w:val="none" w:sz="0" w:space="0" w:color="auto"/>
        <w:right w:val="none" w:sz="0" w:space="0" w:color="auto"/>
      </w:divBdr>
    </w:div>
    <w:div w:id="336269227">
      <w:bodyDiv w:val="1"/>
      <w:marLeft w:val="0"/>
      <w:marRight w:val="0"/>
      <w:marTop w:val="0"/>
      <w:marBottom w:val="0"/>
      <w:divBdr>
        <w:top w:val="none" w:sz="0" w:space="0" w:color="auto"/>
        <w:left w:val="none" w:sz="0" w:space="0" w:color="auto"/>
        <w:bottom w:val="none" w:sz="0" w:space="0" w:color="auto"/>
        <w:right w:val="none" w:sz="0" w:space="0" w:color="auto"/>
      </w:divBdr>
    </w:div>
    <w:div w:id="336619603">
      <w:bodyDiv w:val="1"/>
      <w:marLeft w:val="0"/>
      <w:marRight w:val="0"/>
      <w:marTop w:val="0"/>
      <w:marBottom w:val="0"/>
      <w:divBdr>
        <w:top w:val="none" w:sz="0" w:space="0" w:color="auto"/>
        <w:left w:val="none" w:sz="0" w:space="0" w:color="auto"/>
        <w:bottom w:val="none" w:sz="0" w:space="0" w:color="auto"/>
        <w:right w:val="none" w:sz="0" w:space="0" w:color="auto"/>
      </w:divBdr>
    </w:div>
    <w:div w:id="337123697">
      <w:bodyDiv w:val="1"/>
      <w:marLeft w:val="0"/>
      <w:marRight w:val="0"/>
      <w:marTop w:val="0"/>
      <w:marBottom w:val="0"/>
      <w:divBdr>
        <w:top w:val="none" w:sz="0" w:space="0" w:color="auto"/>
        <w:left w:val="none" w:sz="0" w:space="0" w:color="auto"/>
        <w:bottom w:val="none" w:sz="0" w:space="0" w:color="auto"/>
        <w:right w:val="none" w:sz="0" w:space="0" w:color="auto"/>
      </w:divBdr>
    </w:div>
    <w:div w:id="338050333">
      <w:bodyDiv w:val="1"/>
      <w:marLeft w:val="0"/>
      <w:marRight w:val="0"/>
      <w:marTop w:val="0"/>
      <w:marBottom w:val="0"/>
      <w:divBdr>
        <w:top w:val="none" w:sz="0" w:space="0" w:color="auto"/>
        <w:left w:val="none" w:sz="0" w:space="0" w:color="auto"/>
        <w:bottom w:val="none" w:sz="0" w:space="0" w:color="auto"/>
        <w:right w:val="none" w:sz="0" w:space="0" w:color="auto"/>
      </w:divBdr>
    </w:div>
    <w:div w:id="338196363">
      <w:bodyDiv w:val="1"/>
      <w:marLeft w:val="0"/>
      <w:marRight w:val="0"/>
      <w:marTop w:val="0"/>
      <w:marBottom w:val="0"/>
      <w:divBdr>
        <w:top w:val="none" w:sz="0" w:space="0" w:color="auto"/>
        <w:left w:val="none" w:sz="0" w:space="0" w:color="auto"/>
        <w:bottom w:val="none" w:sz="0" w:space="0" w:color="auto"/>
        <w:right w:val="none" w:sz="0" w:space="0" w:color="auto"/>
      </w:divBdr>
    </w:div>
    <w:div w:id="338507249">
      <w:bodyDiv w:val="1"/>
      <w:marLeft w:val="0"/>
      <w:marRight w:val="0"/>
      <w:marTop w:val="0"/>
      <w:marBottom w:val="0"/>
      <w:divBdr>
        <w:top w:val="none" w:sz="0" w:space="0" w:color="auto"/>
        <w:left w:val="none" w:sz="0" w:space="0" w:color="auto"/>
        <w:bottom w:val="none" w:sz="0" w:space="0" w:color="auto"/>
        <w:right w:val="none" w:sz="0" w:space="0" w:color="auto"/>
      </w:divBdr>
    </w:div>
    <w:div w:id="341670372">
      <w:bodyDiv w:val="1"/>
      <w:marLeft w:val="0"/>
      <w:marRight w:val="0"/>
      <w:marTop w:val="0"/>
      <w:marBottom w:val="0"/>
      <w:divBdr>
        <w:top w:val="none" w:sz="0" w:space="0" w:color="auto"/>
        <w:left w:val="none" w:sz="0" w:space="0" w:color="auto"/>
        <w:bottom w:val="none" w:sz="0" w:space="0" w:color="auto"/>
        <w:right w:val="none" w:sz="0" w:space="0" w:color="auto"/>
      </w:divBdr>
    </w:div>
    <w:div w:id="342098040">
      <w:bodyDiv w:val="1"/>
      <w:marLeft w:val="0"/>
      <w:marRight w:val="0"/>
      <w:marTop w:val="0"/>
      <w:marBottom w:val="0"/>
      <w:divBdr>
        <w:top w:val="none" w:sz="0" w:space="0" w:color="auto"/>
        <w:left w:val="none" w:sz="0" w:space="0" w:color="auto"/>
        <w:bottom w:val="none" w:sz="0" w:space="0" w:color="auto"/>
        <w:right w:val="none" w:sz="0" w:space="0" w:color="auto"/>
      </w:divBdr>
    </w:div>
    <w:div w:id="342434308">
      <w:bodyDiv w:val="1"/>
      <w:marLeft w:val="0"/>
      <w:marRight w:val="0"/>
      <w:marTop w:val="0"/>
      <w:marBottom w:val="0"/>
      <w:divBdr>
        <w:top w:val="none" w:sz="0" w:space="0" w:color="auto"/>
        <w:left w:val="none" w:sz="0" w:space="0" w:color="auto"/>
        <w:bottom w:val="none" w:sz="0" w:space="0" w:color="auto"/>
        <w:right w:val="none" w:sz="0" w:space="0" w:color="auto"/>
      </w:divBdr>
    </w:div>
    <w:div w:id="342704960">
      <w:bodyDiv w:val="1"/>
      <w:marLeft w:val="0"/>
      <w:marRight w:val="0"/>
      <w:marTop w:val="0"/>
      <w:marBottom w:val="0"/>
      <w:divBdr>
        <w:top w:val="none" w:sz="0" w:space="0" w:color="auto"/>
        <w:left w:val="none" w:sz="0" w:space="0" w:color="auto"/>
        <w:bottom w:val="none" w:sz="0" w:space="0" w:color="auto"/>
        <w:right w:val="none" w:sz="0" w:space="0" w:color="auto"/>
      </w:divBdr>
    </w:div>
    <w:div w:id="342712140">
      <w:bodyDiv w:val="1"/>
      <w:marLeft w:val="0"/>
      <w:marRight w:val="0"/>
      <w:marTop w:val="0"/>
      <w:marBottom w:val="0"/>
      <w:divBdr>
        <w:top w:val="none" w:sz="0" w:space="0" w:color="auto"/>
        <w:left w:val="none" w:sz="0" w:space="0" w:color="auto"/>
        <w:bottom w:val="none" w:sz="0" w:space="0" w:color="auto"/>
        <w:right w:val="none" w:sz="0" w:space="0" w:color="auto"/>
      </w:divBdr>
    </w:div>
    <w:div w:id="343751152">
      <w:bodyDiv w:val="1"/>
      <w:marLeft w:val="0"/>
      <w:marRight w:val="0"/>
      <w:marTop w:val="0"/>
      <w:marBottom w:val="0"/>
      <w:divBdr>
        <w:top w:val="none" w:sz="0" w:space="0" w:color="auto"/>
        <w:left w:val="none" w:sz="0" w:space="0" w:color="auto"/>
        <w:bottom w:val="none" w:sz="0" w:space="0" w:color="auto"/>
        <w:right w:val="none" w:sz="0" w:space="0" w:color="auto"/>
      </w:divBdr>
    </w:div>
    <w:div w:id="346637304">
      <w:bodyDiv w:val="1"/>
      <w:marLeft w:val="0"/>
      <w:marRight w:val="0"/>
      <w:marTop w:val="0"/>
      <w:marBottom w:val="0"/>
      <w:divBdr>
        <w:top w:val="none" w:sz="0" w:space="0" w:color="auto"/>
        <w:left w:val="none" w:sz="0" w:space="0" w:color="auto"/>
        <w:bottom w:val="none" w:sz="0" w:space="0" w:color="auto"/>
        <w:right w:val="none" w:sz="0" w:space="0" w:color="auto"/>
      </w:divBdr>
    </w:div>
    <w:div w:id="346641072">
      <w:bodyDiv w:val="1"/>
      <w:marLeft w:val="0"/>
      <w:marRight w:val="0"/>
      <w:marTop w:val="0"/>
      <w:marBottom w:val="0"/>
      <w:divBdr>
        <w:top w:val="none" w:sz="0" w:space="0" w:color="auto"/>
        <w:left w:val="none" w:sz="0" w:space="0" w:color="auto"/>
        <w:bottom w:val="none" w:sz="0" w:space="0" w:color="auto"/>
        <w:right w:val="none" w:sz="0" w:space="0" w:color="auto"/>
      </w:divBdr>
    </w:div>
    <w:div w:id="350104660">
      <w:bodyDiv w:val="1"/>
      <w:marLeft w:val="0"/>
      <w:marRight w:val="0"/>
      <w:marTop w:val="0"/>
      <w:marBottom w:val="0"/>
      <w:divBdr>
        <w:top w:val="none" w:sz="0" w:space="0" w:color="auto"/>
        <w:left w:val="none" w:sz="0" w:space="0" w:color="auto"/>
        <w:bottom w:val="none" w:sz="0" w:space="0" w:color="auto"/>
        <w:right w:val="none" w:sz="0" w:space="0" w:color="auto"/>
      </w:divBdr>
    </w:div>
    <w:div w:id="350305401">
      <w:bodyDiv w:val="1"/>
      <w:marLeft w:val="0"/>
      <w:marRight w:val="0"/>
      <w:marTop w:val="0"/>
      <w:marBottom w:val="0"/>
      <w:divBdr>
        <w:top w:val="none" w:sz="0" w:space="0" w:color="auto"/>
        <w:left w:val="none" w:sz="0" w:space="0" w:color="auto"/>
        <w:bottom w:val="none" w:sz="0" w:space="0" w:color="auto"/>
        <w:right w:val="none" w:sz="0" w:space="0" w:color="auto"/>
      </w:divBdr>
    </w:div>
    <w:div w:id="351153843">
      <w:bodyDiv w:val="1"/>
      <w:marLeft w:val="0"/>
      <w:marRight w:val="0"/>
      <w:marTop w:val="0"/>
      <w:marBottom w:val="0"/>
      <w:divBdr>
        <w:top w:val="none" w:sz="0" w:space="0" w:color="auto"/>
        <w:left w:val="none" w:sz="0" w:space="0" w:color="auto"/>
        <w:bottom w:val="none" w:sz="0" w:space="0" w:color="auto"/>
        <w:right w:val="none" w:sz="0" w:space="0" w:color="auto"/>
      </w:divBdr>
    </w:div>
    <w:div w:id="351616466">
      <w:bodyDiv w:val="1"/>
      <w:marLeft w:val="0"/>
      <w:marRight w:val="0"/>
      <w:marTop w:val="0"/>
      <w:marBottom w:val="0"/>
      <w:divBdr>
        <w:top w:val="none" w:sz="0" w:space="0" w:color="auto"/>
        <w:left w:val="none" w:sz="0" w:space="0" w:color="auto"/>
        <w:bottom w:val="none" w:sz="0" w:space="0" w:color="auto"/>
        <w:right w:val="none" w:sz="0" w:space="0" w:color="auto"/>
      </w:divBdr>
    </w:div>
    <w:div w:id="351951915">
      <w:bodyDiv w:val="1"/>
      <w:marLeft w:val="0"/>
      <w:marRight w:val="0"/>
      <w:marTop w:val="0"/>
      <w:marBottom w:val="0"/>
      <w:divBdr>
        <w:top w:val="none" w:sz="0" w:space="0" w:color="auto"/>
        <w:left w:val="none" w:sz="0" w:space="0" w:color="auto"/>
        <w:bottom w:val="none" w:sz="0" w:space="0" w:color="auto"/>
        <w:right w:val="none" w:sz="0" w:space="0" w:color="auto"/>
      </w:divBdr>
    </w:div>
    <w:div w:id="352221148">
      <w:bodyDiv w:val="1"/>
      <w:marLeft w:val="0"/>
      <w:marRight w:val="0"/>
      <w:marTop w:val="0"/>
      <w:marBottom w:val="0"/>
      <w:divBdr>
        <w:top w:val="none" w:sz="0" w:space="0" w:color="auto"/>
        <w:left w:val="none" w:sz="0" w:space="0" w:color="auto"/>
        <w:bottom w:val="none" w:sz="0" w:space="0" w:color="auto"/>
        <w:right w:val="none" w:sz="0" w:space="0" w:color="auto"/>
      </w:divBdr>
    </w:div>
    <w:div w:id="352609480">
      <w:bodyDiv w:val="1"/>
      <w:marLeft w:val="0"/>
      <w:marRight w:val="0"/>
      <w:marTop w:val="0"/>
      <w:marBottom w:val="0"/>
      <w:divBdr>
        <w:top w:val="none" w:sz="0" w:space="0" w:color="auto"/>
        <w:left w:val="none" w:sz="0" w:space="0" w:color="auto"/>
        <w:bottom w:val="none" w:sz="0" w:space="0" w:color="auto"/>
        <w:right w:val="none" w:sz="0" w:space="0" w:color="auto"/>
      </w:divBdr>
    </w:div>
    <w:div w:id="353582745">
      <w:bodyDiv w:val="1"/>
      <w:marLeft w:val="0"/>
      <w:marRight w:val="0"/>
      <w:marTop w:val="0"/>
      <w:marBottom w:val="0"/>
      <w:divBdr>
        <w:top w:val="none" w:sz="0" w:space="0" w:color="auto"/>
        <w:left w:val="none" w:sz="0" w:space="0" w:color="auto"/>
        <w:bottom w:val="none" w:sz="0" w:space="0" w:color="auto"/>
        <w:right w:val="none" w:sz="0" w:space="0" w:color="auto"/>
      </w:divBdr>
    </w:div>
    <w:div w:id="353852062">
      <w:bodyDiv w:val="1"/>
      <w:marLeft w:val="0"/>
      <w:marRight w:val="0"/>
      <w:marTop w:val="0"/>
      <w:marBottom w:val="0"/>
      <w:divBdr>
        <w:top w:val="none" w:sz="0" w:space="0" w:color="auto"/>
        <w:left w:val="none" w:sz="0" w:space="0" w:color="auto"/>
        <w:bottom w:val="none" w:sz="0" w:space="0" w:color="auto"/>
        <w:right w:val="none" w:sz="0" w:space="0" w:color="auto"/>
      </w:divBdr>
    </w:div>
    <w:div w:id="358506916">
      <w:bodyDiv w:val="1"/>
      <w:marLeft w:val="0"/>
      <w:marRight w:val="0"/>
      <w:marTop w:val="0"/>
      <w:marBottom w:val="0"/>
      <w:divBdr>
        <w:top w:val="none" w:sz="0" w:space="0" w:color="auto"/>
        <w:left w:val="none" w:sz="0" w:space="0" w:color="auto"/>
        <w:bottom w:val="none" w:sz="0" w:space="0" w:color="auto"/>
        <w:right w:val="none" w:sz="0" w:space="0" w:color="auto"/>
      </w:divBdr>
    </w:div>
    <w:div w:id="358703414">
      <w:bodyDiv w:val="1"/>
      <w:marLeft w:val="0"/>
      <w:marRight w:val="0"/>
      <w:marTop w:val="0"/>
      <w:marBottom w:val="0"/>
      <w:divBdr>
        <w:top w:val="none" w:sz="0" w:space="0" w:color="auto"/>
        <w:left w:val="none" w:sz="0" w:space="0" w:color="auto"/>
        <w:bottom w:val="none" w:sz="0" w:space="0" w:color="auto"/>
        <w:right w:val="none" w:sz="0" w:space="0" w:color="auto"/>
      </w:divBdr>
    </w:div>
    <w:div w:id="359747669">
      <w:bodyDiv w:val="1"/>
      <w:marLeft w:val="0"/>
      <w:marRight w:val="0"/>
      <w:marTop w:val="0"/>
      <w:marBottom w:val="0"/>
      <w:divBdr>
        <w:top w:val="none" w:sz="0" w:space="0" w:color="auto"/>
        <w:left w:val="none" w:sz="0" w:space="0" w:color="auto"/>
        <w:bottom w:val="none" w:sz="0" w:space="0" w:color="auto"/>
        <w:right w:val="none" w:sz="0" w:space="0" w:color="auto"/>
      </w:divBdr>
    </w:div>
    <w:div w:id="361710068">
      <w:bodyDiv w:val="1"/>
      <w:marLeft w:val="0"/>
      <w:marRight w:val="0"/>
      <w:marTop w:val="0"/>
      <w:marBottom w:val="0"/>
      <w:divBdr>
        <w:top w:val="none" w:sz="0" w:space="0" w:color="auto"/>
        <w:left w:val="none" w:sz="0" w:space="0" w:color="auto"/>
        <w:bottom w:val="none" w:sz="0" w:space="0" w:color="auto"/>
        <w:right w:val="none" w:sz="0" w:space="0" w:color="auto"/>
      </w:divBdr>
    </w:div>
    <w:div w:id="362638256">
      <w:bodyDiv w:val="1"/>
      <w:marLeft w:val="0"/>
      <w:marRight w:val="0"/>
      <w:marTop w:val="0"/>
      <w:marBottom w:val="0"/>
      <w:divBdr>
        <w:top w:val="none" w:sz="0" w:space="0" w:color="auto"/>
        <w:left w:val="none" w:sz="0" w:space="0" w:color="auto"/>
        <w:bottom w:val="none" w:sz="0" w:space="0" w:color="auto"/>
        <w:right w:val="none" w:sz="0" w:space="0" w:color="auto"/>
      </w:divBdr>
    </w:div>
    <w:div w:id="363289912">
      <w:bodyDiv w:val="1"/>
      <w:marLeft w:val="0"/>
      <w:marRight w:val="0"/>
      <w:marTop w:val="0"/>
      <w:marBottom w:val="0"/>
      <w:divBdr>
        <w:top w:val="none" w:sz="0" w:space="0" w:color="auto"/>
        <w:left w:val="none" w:sz="0" w:space="0" w:color="auto"/>
        <w:bottom w:val="none" w:sz="0" w:space="0" w:color="auto"/>
        <w:right w:val="none" w:sz="0" w:space="0" w:color="auto"/>
      </w:divBdr>
    </w:div>
    <w:div w:id="363867731">
      <w:bodyDiv w:val="1"/>
      <w:marLeft w:val="0"/>
      <w:marRight w:val="0"/>
      <w:marTop w:val="0"/>
      <w:marBottom w:val="0"/>
      <w:divBdr>
        <w:top w:val="none" w:sz="0" w:space="0" w:color="auto"/>
        <w:left w:val="none" w:sz="0" w:space="0" w:color="auto"/>
        <w:bottom w:val="none" w:sz="0" w:space="0" w:color="auto"/>
        <w:right w:val="none" w:sz="0" w:space="0" w:color="auto"/>
      </w:divBdr>
    </w:div>
    <w:div w:id="364134067">
      <w:bodyDiv w:val="1"/>
      <w:marLeft w:val="0"/>
      <w:marRight w:val="0"/>
      <w:marTop w:val="0"/>
      <w:marBottom w:val="0"/>
      <w:divBdr>
        <w:top w:val="none" w:sz="0" w:space="0" w:color="auto"/>
        <w:left w:val="none" w:sz="0" w:space="0" w:color="auto"/>
        <w:bottom w:val="none" w:sz="0" w:space="0" w:color="auto"/>
        <w:right w:val="none" w:sz="0" w:space="0" w:color="auto"/>
      </w:divBdr>
    </w:div>
    <w:div w:id="365639788">
      <w:bodyDiv w:val="1"/>
      <w:marLeft w:val="0"/>
      <w:marRight w:val="0"/>
      <w:marTop w:val="0"/>
      <w:marBottom w:val="0"/>
      <w:divBdr>
        <w:top w:val="none" w:sz="0" w:space="0" w:color="auto"/>
        <w:left w:val="none" w:sz="0" w:space="0" w:color="auto"/>
        <w:bottom w:val="none" w:sz="0" w:space="0" w:color="auto"/>
        <w:right w:val="none" w:sz="0" w:space="0" w:color="auto"/>
      </w:divBdr>
    </w:div>
    <w:div w:id="365953696">
      <w:bodyDiv w:val="1"/>
      <w:marLeft w:val="0"/>
      <w:marRight w:val="0"/>
      <w:marTop w:val="0"/>
      <w:marBottom w:val="0"/>
      <w:divBdr>
        <w:top w:val="none" w:sz="0" w:space="0" w:color="auto"/>
        <w:left w:val="none" w:sz="0" w:space="0" w:color="auto"/>
        <w:bottom w:val="none" w:sz="0" w:space="0" w:color="auto"/>
        <w:right w:val="none" w:sz="0" w:space="0" w:color="auto"/>
      </w:divBdr>
    </w:div>
    <w:div w:id="367727407">
      <w:bodyDiv w:val="1"/>
      <w:marLeft w:val="0"/>
      <w:marRight w:val="0"/>
      <w:marTop w:val="0"/>
      <w:marBottom w:val="0"/>
      <w:divBdr>
        <w:top w:val="none" w:sz="0" w:space="0" w:color="auto"/>
        <w:left w:val="none" w:sz="0" w:space="0" w:color="auto"/>
        <w:bottom w:val="none" w:sz="0" w:space="0" w:color="auto"/>
        <w:right w:val="none" w:sz="0" w:space="0" w:color="auto"/>
      </w:divBdr>
    </w:div>
    <w:div w:id="369112231">
      <w:bodyDiv w:val="1"/>
      <w:marLeft w:val="0"/>
      <w:marRight w:val="0"/>
      <w:marTop w:val="0"/>
      <w:marBottom w:val="0"/>
      <w:divBdr>
        <w:top w:val="none" w:sz="0" w:space="0" w:color="auto"/>
        <w:left w:val="none" w:sz="0" w:space="0" w:color="auto"/>
        <w:bottom w:val="none" w:sz="0" w:space="0" w:color="auto"/>
        <w:right w:val="none" w:sz="0" w:space="0" w:color="auto"/>
      </w:divBdr>
    </w:div>
    <w:div w:id="369451403">
      <w:bodyDiv w:val="1"/>
      <w:marLeft w:val="0"/>
      <w:marRight w:val="0"/>
      <w:marTop w:val="0"/>
      <w:marBottom w:val="0"/>
      <w:divBdr>
        <w:top w:val="none" w:sz="0" w:space="0" w:color="auto"/>
        <w:left w:val="none" w:sz="0" w:space="0" w:color="auto"/>
        <w:bottom w:val="none" w:sz="0" w:space="0" w:color="auto"/>
        <w:right w:val="none" w:sz="0" w:space="0" w:color="auto"/>
      </w:divBdr>
    </w:div>
    <w:div w:id="369495708">
      <w:bodyDiv w:val="1"/>
      <w:marLeft w:val="0"/>
      <w:marRight w:val="0"/>
      <w:marTop w:val="0"/>
      <w:marBottom w:val="0"/>
      <w:divBdr>
        <w:top w:val="none" w:sz="0" w:space="0" w:color="auto"/>
        <w:left w:val="none" w:sz="0" w:space="0" w:color="auto"/>
        <w:bottom w:val="none" w:sz="0" w:space="0" w:color="auto"/>
        <w:right w:val="none" w:sz="0" w:space="0" w:color="auto"/>
      </w:divBdr>
    </w:div>
    <w:div w:id="371197072">
      <w:bodyDiv w:val="1"/>
      <w:marLeft w:val="0"/>
      <w:marRight w:val="0"/>
      <w:marTop w:val="0"/>
      <w:marBottom w:val="0"/>
      <w:divBdr>
        <w:top w:val="none" w:sz="0" w:space="0" w:color="auto"/>
        <w:left w:val="none" w:sz="0" w:space="0" w:color="auto"/>
        <w:bottom w:val="none" w:sz="0" w:space="0" w:color="auto"/>
        <w:right w:val="none" w:sz="0" w:space="0" w:color="auto"/>
      </w:divBdr>
    </w:div>
    <w:div w:id="372509437">
      <w:bodyDiv w:val="1"/>
      <w:marLeft w:val="0"/>
      <w:marRight w:val="0"/>
      <w:marTop w:val="0"/>
      <w:marBottom w:val="0"/>
      <w:divBdr>
        <w:top w:val="none" w:sz="0" w:space="0" w:color="auto"/>
        <w:left w:val="none" w:sz="0" w:space="0" w:color="auto"/>
        <w:bottom w:val="none" w:sz="0" w:space="0" w:color="auto"/>
        <w:right w:val="none" w:sz="0" w:space="0" w:color="auto"/>
      </w:divBdr>
    </w:div>
    <w:div w:id="374082856">
      <w:bodyDiv w:val="1"/>
      <w:marLeft w:val="0"/>
      <w:marRight w:val="0"/>
      <w:marTop w:val="0"/>
      <w:marBottom w:val="0"/>
      <w:divBdr>
        <w:top w:val="none" w:sz="0" w:space="0" w:color="auto"/>
        <w:left w:val="none" w:sz="0" w:space="0" w:color="auto"/>
        <w:bottom w:val="none" w:sz="0" w:space="0" w:color="auto"/>
        <w:right w:val="none" w:sz="0" w:space="0" w:color="auto"/>
      </w:divBdr>
    </w:div>
    <w:div w:id="374431591">
      <w:bodyDiv w:val="1"/>
      <w:marLeft w:val="0"/>
      <w:marRight w:val="0"/>
      <w:marTop w:val="0"/>
      <w:marBottom w:val="0"/>
      <w:divBdr>
        <w:top w:val="none" w:sz="0" w:space="0" w:color="auto"/>
        <w:left w:val="none" w:sz="0" w:space="0" w:color="auto"/>
        <w:bottom w:val="none" w:sz="0" w:space="0" w:color="auto"/>
        <w:right w:val="none" w:sz="0" w:space="0" w:color="auto"/>
      </w:divBdr>
    </w:div>
    <w:div w:id="374500385">
      <w:bodyDiv w:val="1"/>
      <w:marLeft w:val="0"/>
      <w:marRight w:val="0"/>
      <w:marTop w:val="0"/>
      <w:marBottom w:val="0"/>
      <w:divBdr>
        <w:top w:val="none" w:sz="0" w:space="0" w:color="auto"/>
        <w:left w:val="none" w:sz="0" w:space="0" w:color="auto"/>
        <w:bottom w:val="none" w:sz="0" w:space="0" w:color="auto"/>
        <w:right w:val="none" w:sz="0" w:space="0" w:color="auto"/>
      </w:divBdr>
    </w:div>
    <w:div w:id="374621463">
      <w:bodyDiv w:val="1"/>
      <w:marLeft w:val="0"/>
      <w:marRight w:val="0"/>
      <w:marTop w:val="0"/>
      <w:marBottom w:val="0"/>
      <w:divBdr>
        <w:top w:val="none" w:sz="0" w:space="0" w:color="auto"/>
        <w:left w:val="none" w:sz="0" w:space="0" w:color="auto"/>
        <w:bottom w:val="none" w:sz="0" w:space="0" w:color="auto"/>
        <w:right w:val="none" w:sz="0" w:space="0" w:color="auto"/>
      </w:divBdr>
    </w:div>
    <w:div w:id="374693162">
      <w:bodyDiv w:val="1"/>
      <w:marLeft w:val="0"/>
      <w:marRight w:val="0"/>
      <w:marTop w:val="0"/>
      <w:marBottom w:val="0"/>
      <w:divBdr>
        <w:top w:val="none" w:sz="0" w:space="0" w:color="auto"/>
        <w:left w:val="none" w:sz="0" w:space="0" w:color="auto"/>
        <w:bottom w:val="none" w:sz="0" w:space="0" w:color="auto"/>
        <w:right w:val="none" w:sz="0" w:space="0" w:color="auto"/>
      </w:divBdr>
    </w:div>
    <w:div w:id="376513264">
      <w:bodyDiv w:val="1"/>
      <w:marLeft w:val="0"/>
      <w:marRight w:val="0"/>
      <w:marTop w:val="0"/>
      <w:marBottom w:val="0"/>
      <w:divBdr>
        <w:top w:val="none" w:sz="0" w:space="0" w:color="auto"/>
        <w:left w:val="none" w:sz="0" w:space="0" w:color="auto"/>
        <w:bottom w:val="none" w:sz="0" w:space="0" w:color="auto"/>
        <w:right w:val="none" w:sz="0" w:space="0" w:color="auto"/>
      </w:divBdr>
    </w:div>
    <w:div w:id="376664231">
      <w:bodyDiv w:val="1"/>
      <w:marLeft w:val="0"/>
      <w:marRight w:val="0"/>
      <w:marTop w:val="0"/>
      <w:marBottom w:val="0"/>
      <w:divBdr>
        <w:top w:val="none" w:sz="0" w:space="0" w:color="auto"/>
        <w:left w:val="none" w:sz="0" w:space="0" w:color="auto"/>
        <w:bottom w:val="none" w:sz="0" w:space="0" w:color="auto"/>
        <w:right w:val="none" w:sz="0" w:space="0" w:color="auto"/>
      </w:divBdr>
    </w:div>
    <w:div w:id="377245889">
      <w:bodyDiv w:val="1"/>
      <w:marLeft w:val="0"/>
      <w:marRight w:val="0"/>
      <w:marTop w:val="0"/>
      <w:marBottom w:val="0"/>
      <w:divBdr>
        <w:top w:val="none" w:sz="0" w:space="0" w:color="auto"/>
        <w:left w:val="none" w:sz="0" w:space="0" w:color="auto"/>
        <w:bottom w:val="none" w:sz="0" w:space="0" w:color="auto"/>
        <w:right w:val="none" w:sz="0" w:space="0" w:color="auto"/>
      </w:divBdr>
    </w:div>
    <w:div w:id="377247460">
      <w:bodyDiv w:val="1"/>
      <w:marLeft w:val="0"/>
      <w:marRight w:val="0"/>
      <w:marTop w:val="0"/>
      <w:marBottom w:val="0"/>
      <w:divBdr>
        <w:top w:val="none" w:sz="0" w:space="0" w:color="auto"/>
        <w:left w:val="none" w:sz="0" w:space="0" w:color="auto"/>
        <w:bottom w:val="none" w:sz="0" w:space="0" w:color="auto"/>
        <w:right w:val="none" w:sz="0" w:space="0" w:color="auto"/>
      </w:divBdr>
    </w:div>
    <w:div w:id="378014762">
      <w:bodyDiv w:val="1"/>
      <w:marLeft w:val="0"/>
      <w:marRight w:val="0"/>
      <w:marTop w:val="0"/>
      <w:marBottom w:val="0"/>
      <w:divBdr>
        <w:top w:val="none" w:sz="0" w:space="0" w:color="auto"/>
        <w:left w:val="none" w:sz="0" w:space="0" w:color="auto"/>
        <w:bottom w:val="none" w:sz="0" w:space="0" w:color="auto"/>
        <w:right w:val="none" w:sz="0" w:space="0" w:color="auto"/>
      </w:divBdr>
    </w:div>
    <w:div w:id="379060259">
      <w:bodyDiv w:val="1"/>
      <w:marLeft w:val="0"/>
      <w:marRight w:val="0"/>
      <w:marTop w:val="0"/>
      <w:marBottom w:val="0"/>
      <w:divBdr>
        <w:top w:val="none" w:sz="0" w:space="0" w:color="auto"/>
        <w:left w:val="none" w:sz="0" w:space="0" w:color="auto"/>
        <w:bottom w:val="none" w:sz="0" w:space="0" w:color="auto"/>
        <w:right w:val="none" w:sz="0" w:space="0" w:color="auto"/>
      </w:divBdr>
    </w:div>
    <w:div w:id="380593538">
      <w:bodyDiv w:val="1"/>
      <w:marLeft w:val="0"/>
      <w:marRight w:val="0"/>
      <w:marTop w:val="0"/>
      <w:marBottom w:val="0"/>
      <w:divBdr>
        <w:top w:val="none" w:sz="0" w:space="0" w:color="auto"/>
        <w:left w:val="none" w:sz="0" w:space="0" w:color="auto"/>
        <w:bottom w:val="none" w:sz="0" w:space="0" w:color="auto"/>
        <w:right w:val="none" w:sz="0" w:space="0" w:color="auto"/>
      </w:divBdr>
    </w:div>
    <w:div w:id="381707996">
      <w:bodyDiv w:val="1"/>
      <w:marLeft w:val="0"/>
      <w:marRight w:val="0"/>
      <w:marTop w:val="0"/>
      <w:marBottom w:val="0"/>
      <w:divBdr>
        <w:top w:val="none" w:sz="0" w:space="0" w:color="auto"/>
        <w:left w:val="none" w:sz="0" w:space="0" w:color="auto"/>
        <w:bottom w:val="none" w:sz="0" w:space="0" w:color="auto"/>
        <w:right w:val="none" w:sz="0" w:space="0" w:color="auto"/>
      </w:divBdr>
    </w:div>
    <w:div w:id="381759673">
      <w:bodyDiv w:val="1"/>
      <w:marLeft w:val="0"/>
      <w:marRight w:val="0"/>
      <w:marTop w:val="0"/>
      <w:marBottom w:val="0"/>
      <w:divBdr>
        <w:top w:val="none" w:sz="0" w:space="0" w:color="auto"/>
        <w:left w:val="none" w:sz="0" w:space="0" w:color="auto"/>
        <w:bottom w:val="none" w:sz="0" w:space="0" w:color="auto"/>
        <w:right w:val="none" w:sz="0" w:space="0" w:color="auto"/>
      </w:divBdr>
    </w:div>
    <w:div w:id="382364271">
      <w:bodyDiv w:val="1"/>
      <w:marLeft w:val="0"/>
      <w:marRight w:val="0"/>
      <w:marTop w:val="0"/>
      <w:marBottom w:val="0"/>
      <w:divBdr>
        <w:top w:val="none" w:sz="0" w:space="0" w:color="auto"/>
        <w:left w:val="none" w:sz="0" w:space="0" w:color="auto"/>
        <w:bottom w:val="none" w:sz="0" w:space="0" w:color="auto"/>
        <w:right w:val="none" w:sz="0" w:space="0" w:color="auto"/>
      </w:divBdr>
    </w:div>
    <w:div w:id="382606111">
      <w:bodyDiv w:val="1"/>
      <w:marLeft w:val="0"/>
      <w:marRight w:val="0"/>
      <w:marTop w:val="0"/>
      <w:marBottom w:val="0"/>
      <w:divBdr>
        <w:top w:val="none" w:sz="0" w:space="0" w:color="auto"/>
        <w:left w:val="none" w:sz="0" w:space="0" w:color="auto"/>
        <w:bottom w:val="none" w:sz="0" w:space="0" w:color="auto"/>
        <w:right w:val="none" w:sz="0" w:space="0" w:color="auto"/>
      </w:divBdr>
    </w:div>
    <w:div w:id="384068582">
      <w:bodyDiv w:val="1"/>
      <w:marLeft w:val="0"/>
      <w:marRight w:val="0"/>
      <w:marTop w:val="0"/>
      <w:marBottom w:val="0"/>
      <w:divBdr>
        <w:top w:val="none" w:sz="0" w:space="0" w:color="auto"/>
        <w:left w:val="none" w:sz="0" w:space="0" w:color="auto"/>
        <w:bottom w:val="none" w:sz="0" w:space="0" w:color="auto"/>
        <w:right w:val="none" w:sz="0" w:space="0" w:color="auto"/>
      </w:divBdr>
    </w:div>
    <w:div w:id="384256617">
      <w:bodyDiv w:val="1"/>
      <w:marLeft w:val="0"/>
      <w:marRight w:val="0"/>
      <w:marTop w:val="0"/>
      <w:marBottom w:val="0"/>
      <w:divBdr>
        <w:top w:val="none" w:sz="0" w:space="0" w:color="auto"/>
        <w:left w:val="none" w:sz="0" w:space="0" w:color="auto"/>
        <w:bottom w:val="none" w:sz="0" w:space="0" w:color="auto"/>
        <w:right w:val="none" w:sz="0" w:space="0" w:color="auto"/>
      </w:divBdr>
    </w:div>
    <w:div w:id="385183714">
      <w:bodyDiv w:val="1"/>
      <w:marLeft w:val="0"/>
      <w:marRight w:val="0"/>
      <w:marTop w:val="0"/>
      <w:marBottom w:val="0"/>
      <w:divBdr>
        <w:top w:val="none" w:sz="0" w:space="0" w:color="auto"/>
        <w:left w:val="none" w:sz="0" w:space="0" w:color="auto"/>
        <w:bottom w:val="none" w:sz="0" w:space="0" w:color="auto"/>
        <w:right w:val="none" w:sz="0" w:space="0" w:color="auto"/>
      </w:divBdr>
    </w:div>
    <w:div w:id="385688376">
      <w:bodyDiv w:val="1"/>
      <w:marLeft w:val="0"/>
      <w:marRight w:val="0"/>
      <w:marTop w:val="0"/>
      <w:marBottom w:val="0"/>
      <w:divBdr>
        <w:top w:val="none" w:sz="0" w:space="0" w:color="auto"/>
        <w:left w:val="none" w:sz="0" w:space="0" w:color="auto"/>
        <w:bottom w:val="none" w:sz="0" w:space="0" w:color="auto"/>
        <w:right w:val="none" w:sz="0" w:space="0" w:color="auto"/>
      </w:divBdr>
    </w:div>
    <w:div w:id="385908016">
      <w:bodyDiv w:val="1"/>
      <w:marLeft w:val="0"/>
      <w:marRight w:val="0"/>
      <w:marTop w:val="0"/>
      <w:marBottom w:val="0"/>
      <w:divBdr>
        <w:top w:val="none" w:sz="0" w:space="0" w:color="auto"/>
        <w:left w:val="none" w:sz="0" w:space="0" w:color="auto"/>
        <w:bottom w:val="none" w:sz="0" w:space="0" w:color="auto"/>
        <w:right w:val="none" w:sz="0" w:space="0" w:color="auto"/>
      </w:divBdr>
    </w:div>
    <w:div w:id="388457393">
      <w:bodyDiv w:val="1"/>
      <w:marLeft w:val="0"/>
      <w:marRight w:val="0"/>
      <w:marTop w:val="0"/>
      <w:marBottom w:val="0"/>
      <w:divBdr>
        <w:top w:val="none" w:sz="0" w:space="0" w:color="auto"/>
        <w:left w:val="none" w:sz="0" w:space="0" w:color="auto"/>
        <w:bottom w:val="none" w:sz="0" w:space="0" w:color="auto"/>
        <w:right w:val="none" w:sz="0" w:space="0" w:color="auto"/>
      </w:divBdr>
    </w:div>
    <w:div w:id="390733915">
      <w:bodyDiv w:val="1"/>
      <w:marLeft w:val="0"/>
      <w:marRight w:val="0"/>
      <w:marTop w:val="0"/>
      <w:marBottom w:val="0"/>
      <w:divBdr>
        <w:top w:val="none" w:sz="0" w:space="0" w:color="auto"/>
        <w:left w:val="none" w:sz="0" w:space="0" w:color="auto"/>
        <w:bottom w:val="none" w:sz="0" w:space="0" w:color="auto"/>
        <w:right w:val="none" w:sz="0" w:space="0" w:color="auto"/>
      </w:divBdr>
    </w:div>
    <w:div w:id="392974829">
      <w:bodyDiv w:val="1"/>
      <w:marLeft w:val="0"/>
      <w:marRight w:val="0"/>
      <w:marTop w:val="0"/>
      <w:marBottom w:val="0"/>
      <w:divBdr>
        <w:top w:val="none" w:sz="0" w:space="0" w:color="auto"/>
        <w:left w:val="none" w:sz="0" w:space="0" w:color="auto"/>
        <w:bottom w:val="none" w:sz="0" w:space="0" w:color="auto"/>
        <w:right w:val="none" w:sz="0" w:space="0" w:color="auto"/>
      </w:divBdr>
    </w:div>
    <w:div w:id="393705582">
      <w:bodyDiv w:val="1"/>
      <w:marLeft w:val="0"/>
      <w:marRight w:val="0"/>
      <w:marTop w:val="0"/>
      <w:marBottom w:val="0"/>
      <w:divBdr>
        <w:top w:val="none" w:sz="0" w:space="0" w:color="auto"/>
        <w:left w:val="none" w:sz="0" w:space="0" w:color="auto"/>
        <w:bottom w:val="none" w:sz="0" w:space="0" w:color="auto"/>
        <w:right w:val="none" w:sz="0" w:space="0" w:color="auto"/>
      </w:divBdr>
    </w:div>
    <w:div w:id="394665526">
      <w:bodyDiv w:val="1"/>
      <w:marLeft w:val="0"/>
      <w:marRight w:val="0"/>
      <w:marTop w:val="0"/>
      <w:marBottom w:val="0"/>
      <w:divBdr>
        <w:top w:val="none" w:sz="0" w:space="0" w:color="auto"/>
        <w:left w:val="none" w:sz="0" w:space="0" w:color="auto"/>
        <w:bottom w:val="none" w:sz="0" w:space="0" w:color="auto"/>
        <w:right w:val="none" w:sz="0" w:space="0" w:color="auto"/>
      </w:divBdr>
    </w:div>
    <w:div w:id="395010456">
      <w:bodyDiv w:val="1"/>
      <w:marLeft w:val="0"/>
      <w:marRight w:val="0"/>
      <w:marTop w:val="0"/>
      <w:marBottom w:val="0"/>
      <w:divBdr>
        <w:top w:val="none" w:sz="0" w:space="0" w:color="auto"/>
        <w:left w:val="none" w:sz="0" w:space="0" w:color="auto"/>
        <w:bottom w:val="none" w:sz="0" w:space="0" w:color="auto"/>
        <w:right w:val="none" w:sz="0" w:space="0" w:color="auto"/>
      </w:divBdr>
    </w:div>
    <w:div w:id="395783076">
      <w:bodyDiv w:val="1"/>
      <w:marLeft w:val="0"/>
      <w:marRight w:val="0"/>
      <w:marTop w:val="0"/>
      <w:marBottom w:val="0"/>
      <w:divBdr>
        <w:top w:val="none" w:sz="0" w:space="0" w:color="auto"/>
        <w:left w:val="none" w:sz="0" w:space="0" w:color="auto"/>
        <w:bottom w:val="none" w:sz="0" w:space="0" w:color="auto"/>
        <w:right w:val="none" w:sz="0" w:space="0" w:color="auto"/>
      </w:divBdr>
    </w:div>
    <w:div w:id="396054370">
      <w:bodyDiv w:val="1"/>
      <w:marLeft w:val="0"/>
      <w:marRight w:val="0"/>
      <w:marTop w:val="0"/>
      <w:marBottom w:val="0"/>
      <w:divBdr>
        <w:top w:val="none" w:sz="0" w:space="0" w:color="auto"/>
        <w:left w:val="none" w:sz="0" w:space="0" w:color="auto"/>
        <w:bottom w:val="none" w:sz="0" w:space="0" w:color="auto"/>
        <w:right w:val="none" w:sz="0" w:space="0" w:color="auto"/>
      </w:divBdr>
    </w:div>
    <w:div w:id="397476984">
      <w:bodyDiv w:val="1"/>
      <w:marLeft w:val="0"/>
      <w:marRight w:val="0"/>
      <w:marTop w:val="0"/>
      <w:marBottom w:val="0"/>
      <w:divBdr>
        <w:top w:val="none" w:sz="0" w:space="0" w:color="auto"/>
        <w:left w:val="none" w:sz="0" w:space="0" w:color="auto"/>
        <w:bottom w:val="none" w:sz="0" w:space="0" w:color="auto"/>
        <w:right w:val="none" w:sz="0" w:space="0" w:color="auto"/>
      </w:divBdr>
    </w:div>
    <w:div w:id="398331773">
      <w:bodyDiv w:val="1"/>
      <w:marLeft w:val="0"/>
      <w:marRight w:val="0"/>
      <w:marTop w:val="0"/>
      <w:marBottom w:val="0"/>
      <w:divBdr>
        <w:top w:val="none" w:sz="0" w:space="0" w:color="auto"/>
        <w:left w:val="none" w:sz="0" w:space="0" w:color="auto"/>
        <w:bottom w:val="none" w:sz="0" w:space="0" w:color="auto"/>
        <w:right w:val="none" w:sz="0" w:space="0" w:color="auto"/>
      </w:divBdr>
    </w:div>
    <w:div w:id="398750848">
      <w:bodyDiv w:val="1"/>
      <w:marLeft w:val="0"/>
      <w:marRight w:val="0"/>
      <w:marTop w:val="0"/>
      <w:marBottom w:val="0"/>
      <w:divBdr>
        <w:top w:val="none" w:sz="0" w:space="0" w:color="auto"/>
        <w:left w:val="none" w:sz="0" w:space="0" w:color="auto"/>
        <w:bottom w:val="none" w:sz="0" w:space="0" w:color="auto"/>
        <w:right w:val="none" w:sz="0" w:space="0" w:color="auto"/>
      </w:divBdr>
    </w:div>
    <w:div w:id="401291324">
      <w:bodyDiv w:val="1"/>
      <w:marLeft w:val="0"/>
      <w:marRight w:val="0"/>
      <w:marTop w:val="0"/>
      <w:marBottom w:val="0"/>
      <w:divBdr>
        <w:top w:val="none" w:sz="0" w:space="0" w:color="auto"/>
        <w:left w:val="none" w:sz="0" w:space="0" w:color="auto"/>
        <w:bottom w:val="none" w:sz="0" w:space="0" w:color="auto"/>
        <w:right w:val="none" w:sz="0" w:space="0" w:color="auto"/>
      </w:divBdr>
    </w:div>
    <w:div w:id="403068759">
      <w:bodyDiv w:val="1"/>
      <w:marLeft w:val="0"/>
      <w:marRight w:val="0"/>
      <w:marTop w:val="0"/>
      <w:marBottom w:val="0"/>
      <w:divBdr>
        <w:top w:val="none" w:sz="0" w:space="0" w:color="auto"/>
        <w:left w:val="none" w:sz="0" w:space="0" w:color="auto"/>
        <w:bottom w:val="none" w:sz="0" w:space="0" w:color="auto"/>
        <w:right w:val="none" w:sz="0" w:space="0" w:color="auto"/>
      </w:divBdr>
    </w:div>
    <w:div w:id="403527264">
      <w:bodyDiv w:val="1"/>
      <w:marLeft w:val="0"/>
      <w:marRight w:val="0"/>
      <w:marTop w:val="0"/>
      <w:marBottom w:val="0"/>
      <w:divBdr>
        <w:top w:val="none" w:sz="0" w:space="0" w:color="auto"/>
        <w:left w:val="none" w:sz="0" w:space="0" w:color="auto"/>
        <w:bottom w:val="none" w:sz="0" w:space="0" w:color="auto"/>
        <w:right w:val="none" w:sz="0" w:space="0" w:color="auto"/>
      </w:divBdr>
    </w:div>
    <w:div w:id="403575587">
      <w:bodyDiv w:val="1"/>
      <w:marLeft w:val="0"/>
      <w:marRight w:val="0"/>
      <w:marTop w:val="0"/>
      <w:marBottom w:val="0"/>
      <w:divBdr>
        <w:top w:val="none" w:sz="0" w:space="0" w:color="auto"/>
        <w:left w:val="none" w:sz="0" w:space="0" w:color="auto"/>
        <w:bottom w:val="none" w:sz="0" w:space="0" w:color="auto"/>
        <w:right w:val="none" w:sz="0" w:space="0" w:color="auto"/>
      </w:divBdr>
    </w:div>
    <w:div w:id="403601640">
      <w:bodyDiv w:val="1"/>
      <w:marLeft w:val="0"/>
      <w:marRight w:val="0"/>
      <w:marTop w:val="0"/>
      <w:marBottom w:val="0"/>
      <w:divBdr>
        <w:top w:val="none" w:sz="0" w:space="0" w:color="auto"/>
        <w:left w:val="none" w:sz="0" w:space="0" w:color="auto"/>
        <w:bottom w:val="none" w:sz="0" w:space="0" w:color="auto"/>
        <w:right w:val="none" w:sz="0" w:space="0" w:color="auto"/>
      </w:divBdr>
    </w:div>
    <w:div w:id="403720544">
      <w:bodyDiv w:val="1"/>
      <w:marLeft w:val="0"/>
      <w:marRight w:val="0"/>
      <w:marTop w:val="0"/>
      <w:marBottom w:val="0"/>
      <w:divBdr>
        <w:top w:val="none" w:sz="0" w:space="0" w:color="auto"/>
        <w:left w:val="none" w:sz="0" w:space="0" w:color="auto"/>
        <w:bottom w:val="none" w:sz="0" w:space="0" w:color="auto"/>
        <w:right w:val="none" w:sz="0" w:space="0" w:color="auto"/>
      </w:divBdr>
    </w:div>
    <w:div w:id="404449645">
      <w:bodyDiv w:val="1"/>
      <w:marLeft w:val="0"/>
      <w:marRight w:val="0"/>
      <w:marTop w:val="0"/>
      <w:marBottom w:val="0"/>
      <w:divBdr>
        <w:top w:val="none" w:sz="0" w:space="0" w:color="auto"/>
        <w:left w:val="none" w:sz="0" w:space="0" w:color="auto"/>
        <w:bottom w:val="none" w:sz="0" w:space="0" w:color="auto"/>
        <w:right w:val="none" w:sz="0" w:space="0" w:color="auto"/>
      </w:divBdr>
    </w:div>
    <w:div w:id="405886411">
      <w:bodyDiv w:val="1"/>
      <w:marLeft w:val="0"/>
      <w:marRight w:val="0"/>
      <w:marTop w:val="0"/>
      <w:marBottom w:val="0"/>
      <w:divBdr>
        <w:top w:val="none" w:sz="0" w:space="0" w:color="auto"/>
        <w:left w:val="none" w:sz="0" w:space="0" w:color="auto"/>
        <w:bottom w:val="none" w:sz="0" w:space="0" w:color="auto"/>
        <w:right w:val="none" w:sz="0" w:space="0" w:color="auto"/>
      </w:divBdr>
    </w:div>
    <w:div w:id="406344431">
      <w:bodyDiv w:val="1"/>
      <w:marLeft w:val="0"/>
      <w:marRight w:val="0"/>
      <w:marTop w:val="0"/>
      <w:marBottom w:val="0"/>
      <w:divBdr>
        <w:top w:val="none" w:sz="0" w:space="0" w:color="auto"/>
        <w:left w:val="none" w:sz="0" w:space="0" w:color="auto"/>
        <w:bottom w:val="none" w:sz="0" w:space="0" w:color="auto"/>
        <w:right w:val="none" w:sz="0" w:space="0" w:color="auto"/>
      </w:divBdr>
    </w:div>
    <w:div w:id="408042843">
      <w:bodyDiv w:val="1"/>
      <w:marLeft w:val="0"/>
      <w:marRight w:val="0"/>
      <w:marTop w:val="0"/>
      <w:marBottom w:val="0"/>
      <w:divBdr>
        <w:top w:val="none" w:sz="0" w:space="0" w:color="auto"/>
        <w:left w:val="none" w:sz="0" w:space="0" w:color="auto"/>
        <w:bottom w:val="none" w:sz="0" w:space="0" w:color="auto"/>
        <w:right w:val="none" w:sz="0" w:space="0" w:color="auto"/>
      </w:divBdr>
    </w:div>
    <w:div w:id="408384409">
      <w:bodyDiv w:val="1"/>
      <w:marLeft w:val="0"/>
      <w:marRight w:val="0"/>
      <w:marTop w:val="0"/>
      <w:marBottom w:val="0"/>
      <w:divBdr>
        <w:top w:val="none" w:sz="0" w:space="0" w:color="auto"/>
        <w:left w:val="none" w:sz="0" w:space="0" w:color="auto"/>
        <w:bottom w:val="none" w:sz="0" w:space="0" w:color="auto"/>
        <w:right w:val="none" w:sz="0" w:space="0" w:color="auto"/>
      </w:divBdr>
    </w:div>
    <w:div w:id="408507328">
      <w:bodyDiv w:val="1"/>
      <w:marLeft w:val="0"/>
      <w:marRight w:val="0"/>
      <w:marTop w:val="0"/>
      <w:marBottom w:val="0"/>
      <w:divBdr>
        <w:top w:val="none" w:sz="0" w:space="0" w:color="auto"/>
        <w:left w:val="none" w:sz="0" w:space="0" w:color="auto"/>
        <w:bottom w:val="none" w:sz="0" w:space="0" w:color="auto"/>
        <w:right w:val="none" w:sz="0" w:space="0" w:color="auto"/>
      </w:divBdr>
    </w:div>
    <w:div w:id="409427135">
      <w:bodyDiv w:val="1"/>
      <w:marLeft w:val="0"/>
      <w:marRight w:val="0"/>
      <w:marTop w:val="0"/>
      <w:marBottom w:val="0"/>
      <w:divBdr>
        <w:top w:val="none" w:sz="0" w:space="0" w:color="auto"/>
        <w:left w:val="none" w:sz="0" w:space="0" w:color="auto"/>
        <w:bottom w:val="none" w:sz="0" w:space="0" w:color="auto"/>
        <w:right w:val="none" w:sz="0" w:space="0" w:color="auto"/>
      </w:divBdr>
    </w:div>
    <w:div w:id="409815067">
      <w:bodyDiv w:val="1"/>
      <w:marLeft w:val="0"/>
      <w:marRight w:val="0"/>
      <w:marTop w:val="0"/>
      <w:marBottom w:val="0"/>
      <w:divBdr>
        <w:top w:val="none" w:sz="0" w:space="0" w:color="auto"/>
        <w:left w:val="none" w:sz="0" w:space="0" w:color="auto"/>
        <w:bottom w:val="none" w:sz="0" w:space="0" w:color="auto"/>
        <w:right w:val="none" w:sz="0" w:space="0" w:color="auto"/>
      </w:divBdr>
    </w:div>
    <w:div w:id="410734713">
      <w:bodyDiv w:val="1"/>
      <w:marLeft w:val="0"/>
      <w:marRight w:val="0"/>
      <w:marTop w:val="0"/>
      <w:marBottom w:val="0"/>
      <w:divBdr>
        <w:top w:val="none" w:sz="0" w:space="0" w:color="auto"/>
        <w:left w:val="none" w:sz="0" w:space="0" w:color="auto"/>
        <w:bottom w:val="none" w:sz="0" w:space="0" w:color="auto"/>
        <w:right w:val="none" w:sz="0" w:space="0" w:color="auto"/>
      </w:divBdr>
    </w:div>
    <w:div w:id="412514891">
      <w:bodyDiv w:val="1"/>
      <w:marLeft w:val="0"/>
      <w:marRight w:val="0"/>
      <w:marTop w:val="0"/>
      <w:marBottom w:val="0"/>
      <w:divBdr>
        <w:top w:val="none" w:sz="0" w:space="0" w:color="auto"/>
        <w:left w:val="none" w:sz="0" w:space="0" w:color="auto"/>
        <w:bottom w:val="none" w:sz="0" w:space="0" w:color="auto"/>
        <w:right w:val="none" w:sz="0" w:space="0" w:color="auto"/>
      </w:divBdr>
    </w:div>
    <w:div w:id="414598204">
      <w:bodyDiv w:val="1"/>
      <w:marLeft w:val="0"/>
      <w:marRight w:val="0"/>
      <w:marTop w:val="0"/>
      <w:marBottom w:val="0"/>
      <w:divBdr>
        <w:top w:val="none" w:sz="0" w:space="0" w:color="auto"/>
        <w:left w:val="none" w:sz="0" w:space="0" w:color="auto"/>
        <w:bottom w:val="none" w:sz="0" w:space="0" w:color="auto"/>
        <w:right w:val="none" w:sz="0" w:space="0" w:color="auto"/>
      </w:divBdr>
    </w:div>
    <w:div w:id="416945572">
      <w:bodyDiv w:val="1"/>
      <w:marLeft w:val="0"/>
      <w:marRight w:val="0"/>
      <w:marTop w:val="0"/>
      <w:marBottom w:val="0"/>
      <w:divBdr>
        <w:top w:val="none" w:sz="0" w:space="0" w:color="auto"/>
        <w:left w:val="none" w:sz="0" w:space="0" w:color="auto"/>
        <w:bottom w:val="none" w:sz="0" w:space="0" w:color="auto"/>
        <w:right w:val="none" w:sz="0" w:space="0" w:color="auto"/>
      </w:divBdr>
    </w:div>
    <w:div w:id="417098338">
      <w:bodyDiv w:val="1"/>
      <w:marLeft w:val="0"/>
      <w:marRight w:val="0"/>
      <w:marTop w:val="0"/>
      <w:marBottom w:val="0"/>
      <w:divBdr>
        <w:top w:val="none" w:sz="0" w:space="0" w:color="auto"/>
        <w:left w:val="none" w:sz="0" w:space="0" w:color="auto"/>
        <w:bottom w:val="none" w:sz="0" w:space="0" w:color="auto"/>
        <w:right w:val="none" w:sz="0" w:space="0" w:color="auto"/>
      </w:divBdr>
    </w:div>
    <w:div w:id="419374233">
      <w:bodyDiv w:val="1"/>
      <w:marLeft w:val="0"/>
      <w:marRight w:val="0"/>
      <w:marTop w:val="0"/>
      <w:marBottom w:val="0"/>
      <w:divBdr>
        <w:top w:val="none" w:sz="0" w:space="0" w:color="auto"/>
        <w:left w:val="none" w:sz="0" w:space="0" w:color="auto"/>
        <w:bottom w:val="none" w:sz="0" w:space="0" w:color="auto"/>
        <w:right w:val="none" w:sz="0" w:space="0" w:color="auto"/>
      </w:divBdr>
    </w:div>
    <w:div w:id="419448176">
      <w:bodyDiv w:val="1"/>
      <w:marLeft w:val="0"/>
      <w:marRight w:val="0"/>
      <w:marTop w:val="0"/>
      <w:marBottom w:val="0"/>
      <w:divBdr>
        <w:top w:val="none" w:sz="0" w:space="0" w:color="auto"/>
        <w:left w:val="none" w:sz="0" w:space="0" w:color="auto"/>
        <w:bottom w:val="none" w:sz="0" w:space="0" w:color="auto"/>
        <w:right w:val="none" w:sz="0" w:space="0" w:color="auto"/>
      </w:divBdr>
    </w:div>
    <w:div w:id="419569319">
      <w:bodyDiv w:val="1"/>
      <w:marLeft w:val="0"/>
      <w:marRight w:val="0"/>
      <w:marTop w:val="0"/>
      <w:marBottom w:val="0"/>
      <w:divBdr>
        <w:top w:val="none" w:sz="0" w:space="0" w:color="auto"/>
        <w:left w:val="none" w:sz="0" w:space="0" w:color="auto"/>
        <w:bottom w:val="none" w:sz="0" w:space="0" w:color="auto"/>
        <w:right w:val="none" w:sz="0" w:space="0" w:color="auto"/>
      </w:divBdr>
    </w:div>
    <w:div w:id="419762487">
      <w:bodyDiv w:val="1"/>
      <w:marLeft w:val="0"/>
      <w:marRight w:val="0"/>
      <w:marTop w:val="0"/>
      <w:marBottom w:val="0"/>
      <w:divBdr>
        <w:top w:val="none" w:sz="0" w:space="0" w:color="auto"/>
        <w:left w:val="none" w:sz="0" w:space="0" w:color="auto"/>
        <w:bottom w:val="none" w:sz="0" w:space="0" w:color="auto"/>
        <w:right w:val="none" w:sz="0" w:space="0" w:color="auto"/>
      </w:divBdr>
    </w:div>
    <w:div w:id="424690746">
      <w:bodyDiv w:val="1"/>
      <w:marLeft w:val="0"/>
      <w:marRight w:val="0"/>
      <w:marTop w:val="0"/>
      <w:marBottom w:val="0"/>
      <w:divBdr>
        <w:top w:val="none" w:sz="0" w:space="0" w:color="auto"/>
        <w:left w:val="none" w:sz="0" w:space="0" w:color="auto"/>
        <w:bottom w:val="none" w:sz="0" w:space="0" w:color="auto"/>
        <w:right w:val="none" w:sz="0" w:space="0" w:color="auto"/>
      </w:divBdr>
    </w:div>
    <w:div w:id="429158083">
      <w:bodyDiv w:val="1"/>
      <w:marLeft w:val="0"/>
      <w:marRight w:val="0"/>
      <w:marTop w:val="0"/>
      <w:marBottom w:val="0"/>
      <w:divBdr>
        <w:top w:val="none" w:sz="0" w:space="0" w:color="auto"/>
        <w:left w:val="none" w:sz="0" w:space="0" w:color="auto"/>
        <w:bottom w:val="none" w:sz="0" w:space="0" w:color="auto"/>
        <w:right w:val="none" w:sz="0" w:space="0" w:color="auto"/>
      </w:divBdr>
    </w:div>
    <w:div w:id="429736037">
      <w:bodyDiv w:val="1"/>
      <w:marLeft w:val="0"/>
      <w:marRight w:val="0"/>
      <w:marTop w:val="0"/>
      <w:marBottom w:val="0"/>
      <w:divBdr>
        <w:top w:val="none" w:sz="0" w:space="0" w:color="auto"/>
        <w:left w:val="none" w:sz="0" w:space="0" w:color="auto"/>
        <w:bottom w:val="none" w:sz="0" w:space="0" w:color="auto"/>
        <w:right w:val="none" w:sz="0" w:space="0" w:color="auto"/>
      </w:divBdr>
    </w:div>
    <w:div w:id="430469746">
      <w:bodyDiv w:val="1"/>
      <w:marLeft w:val="0"/>
      <w:marRight w:val="0"/>
      <w:marTop w:val="0"/>
      <w:marBottom w:val="0"/>
      <w:divBdr>
        <w:top w:val="none" w:sz="0" w:space="0" w:color="auto"/>
        <w:left w:val="none" w:sz="0" w:space="0" w:color="auto"/>
        <w:bottom w:val="none" w:sz="0" w:space="0" w:color="auto"/>
        <w:right w:val="none" w:sz="0" w:space="0" w:color="auto"/>
      </w:divBdr>
    </w:div>
    <w:div w:id="432357609">
      <w:bodyDiv w:val="1"/>
      <w:marLeft w:val="0"/>
      <w:marRight w:val="0"/>
      <w:marTop w:val="0"/>
      <w:marBottom w:val="0"/>
      <w:divBdr>
        <w:top w:val="none" w:sz="0" w:space="0" w:color="auto"/>
        <w:left w:val="none" w:sz="0" w:space="0" w:color="auto"/>
        <w:bottom w:val="none" w:sz="0" w:space="0" w:color="auto"/>
        <w:right w:val="none" w:sz="0" w:space="0" w:color="auto"/>
      </w:divBdr>
    </w:div>
    <w:div w:id="433944924">
      <w:bodyDiv w:val="1"/>
      <w:marLeft w:val="0"/>
      <w:marRight w:val="0"/>
      <w:marTop w:val="0"/>
      <w:marBottom w:val="0"/>
      <w:divBdr>
        <w:top w:val="none" w:sz="0" w:space="0" w:color="auto"/>
        <w:left w:val="none" w:sz="0" w:space="0" w:color="auto"/>
        <w:bottom w:val="none" w:sz="0" w:space="0" w:color="auto"/>
        <w:right w:val="none" w:sz="0" w:space="0" w:color="auto"/>
      </w:divBdr>
    </w:div>
    <w:div w:id="434642559">
      <w:bodyDiv w:val="1"/>
      <w:marLeft w:val="0"/>
      <w:marRight w:val="0"/>
      <w:marTop w:val="0"/>
      <w:marBottom w:val="0"/>
      <w:divBdr>
        <w:top w:val="none" w:sz="0" w:space="0" w:color="auto"/>
        <w:left w:val="none" w:sz="0" w:space="0" w:color="auto"/>
        <w:bottom w:val="none" w:sz="0" w:space="0" w:color="auto"/>
        <w:right w:val="none" w:sz="0" w:space="0" w:color="auto"/>
      </w:divBdr>
    </w:div>
    <w:div w:id="436219763">
      <w:bodyDiv w:val="1"/>
      <w:marLeft w:val="0"/>
      <w:marRight w:val="0"/>
      <w:marTop w:val="0"/>
      <w:marBottom w:val="0"/>
      <w:divBdr>
        <w:top w:val="none" w:sz="0" w:space="0" w:color="auto"/>
        <w:left w:val="none" w:sz="0" w:space="0" w:color="auto"/>
        <w:bottom w:val="none" w:sz="0" w:space="0" w:color="auto"/>
        <w:right w:val="none" w:sz="0" w:space="0" w:color="auto"/>
      </w:divBdr>
    </w:div>
    <w:div w:id="436370935">
      <w:bodyDiv w:val="1"/>
      <w:marLeft w:val="0"/>
      <w:marRight w:val="0"/>
      <w:marTop w:val="0"/>
      <w:marBottom w:val="0"/>
      <w:divBdr>
        <w:top w:val="none" w:sz="0" w:space="0" w:color="auto"/>
        <w:left w:val="none" w:sz="0" w:space="0" w:color="auto"/>
        <w:bottom w:val="none" w:sz="0" w:space="0" w:color="auto"/>
        <w:right w:val="none" w:sz="0" w:space="0" w:color="auto"/>
      </w:divBdr>
    </w:div>
    <w:div w:id="436801424">
      <w:bodyDiv w:val="1"/>
      <w:marLeft w:val="0"/>
      <w:marRight w:val="0"/>
      <w:marTop w:val="0"/>
      <w:marBottom w:val="0"/>
      <w:divBdr>
        <w:top w:val="none" w:sz="0" w:space="0" w:color="auto"/>
        <w:left w:val="none" w:sz="0" w:space="0" w:color="auto"/>
        <w:bottom w:val="none" w:sz="0" w:space="0" w:color="auto"/>
        <w:right w:val="none" w:sz="0" w:space="0" w:color="auto"/>
      </w:divBdr>
    </w:div>
    <w:div w:id="436830198">
      <w:bodyDiv w:val="1"/>
      <w:marLeft w:val="0"/>
      <w:marRight w:val="0"/>
      <w:marTop w:val="0"/>
      <w:marBottom w:val="0"/>
      <w:divBdr>
        <w:top w:val="none" w:sz="0" w:space="0" w:color="auto"/>
        <w:left w:val="none" w:sz="0" w:space="0" w:color="auto"/>
        <w:bottom w:val="none" w:sz="0" w:space="0" w:color="auto"/>
        <w:right w:val="none" w:sz="0" w:space="0" w:color="auto"/>
      </w:divBdr>
    </w:div>
    <w:div w:id="439647928">
      <w:bodyDiv w:val="1"/>
      <w:marLeft w:val="0"/>
      <w:marRight w:val="0"/>
      <w:marTop w:val="0"/>
      <w:marBottom w:val="0"/>
      <w:divBdr>
        <w:top w:val="none" w:sz="0" w:space="0" w:color="auto"/>
        <w:left w:val="none" w:sz="0" w:space="0" w:color="auto"/>
        <w:bottom w:val="none" w:sz="0" w:space="0" w:color="auto"/>
        <w:right w:val="none" w:sz="0" w:space="0" w:color="auto"/>
      </w:divBdr>
    </w:div>
    <w:div w:id="440879686">
      <w:bodyDiv w:val="1"/>
      <w:marLeft w:val="0"/>
      <w:marRight w:val="0"/>
      <w:marTop w:val="0"/>
      <w:marBottom w:val="0"/>
      <w:divBdr>
        <w:top w:val="none" w:sz="0" w:space="0" w:color="auto"/>
        <w:left w:val="none" w:sz="0" w:space="0" w:color="auto"/>
        <w:bottom w:val="none" w:sz="0" w:space="0" w:color="auto"/>
        <w:right w:val="none" w:sz="0" w:space="0" w:color="auto"/>
      </w:divBdr>
    </w:div>
    <w:div w:id="441002182">
      <w:bodyDiv w:val="1"/>
      <w:marLeft w:val="0"/>
      <w:marRight w:val="0"/>
      <w:marTop w:val="0"/>
      <w:marBottom w:val="0"/>
      <w:divBdr>
        <w:top w:val="none" w:sz="0" w:space="0" w:color="auto"/>
        <w:left w:val="none" w:sz="0" w:space="0" w:color="auto"/>
        <w:bottom w:val="none" w:sz="0" w:space="0" w:color="auto"/>
        <w:right w:val="none" w:sz="0" w:space="0" w:color="auto"/>
      </w:divBdr>
    </w:div>
    <w:div w:id="441412581">
      <w:bodyDiv w:val="1"/>
      <w:marLeft w:val="0"/>
      <w:marRight w:val="0"/>
      <w:marTop w:val="0"/>
      <w:marBottom w:val="0"/>
      <w:divBdr>
        <w:top w:val="none" w:sz="0" w:space="0" w:color="auto"/>
        <w:left w:val="none" w:sz="0" w:space="0" w:color="auto"/>
        <w:bottom w:val="none" w:sz="0" w:space="0" w:color="auto"/>
        <w:right w:val="none" w:sz="0" w:space="0" w:color="auto"/>
      </w:divBdr>
    </w:div>
    <w:div w:id="441921006">
      <w:bodyDiv w:val="1"/>
      <w:marLeft w:val="0"/>
      <w:marRight w:val="0"/>
      <w:marTop w:val="0"/>
      <w:marBottom w:val="0"/>
      <w:divBdr>
        <w:top w:val="none" w:sz="0" w:space="0" w:color="auto"/>
        <w:left w:val="none" w:sz="0" w:space="0" w:color="auto"/>
        <w:bottom w:val="none" w:sz="0" w:space="0" w:color="auto"/>
        <w:right w:val="none" w:sz="0" w:space="0" w:color="auto"/>
      </w:divBdr>
    </w:div>
    <w:div w:id="443040620">
      <w:bodyDiv w:val="1"/>
      <w:marLeft w:val="0"/>
      <w:marRight w:val="0"/>
      <w:marTop w:val="0"/>
      <w:marBottom w:val="0"/>
      <w:divBdr>
        <w:top w:val="none" w:sz="0" w:space="0" w:color="auto"/>
        <w:left w:val="none" w:sz="0" w:space="0" w:color="auto"/>
        <w:bottom w:val="none" w:sz="0" w:space="0" w:color="auto"/>
        <w:right w:val="none" w:sz="0" w:space="0" w:color="auto"/>
      </w:divBdr>
    </w:div>
    <w:div w:id="443159602">
      <w:bodyDiv w:val="1"/>
      <w:marLeft w:val="0"/>
      <w:marRight w:val="0"/>
      <w:marTop w:val="0"/>
      <w:marBottom w:val="0"/>
      <w:divBdr>
        <w:top w:val="none" w:sz="0" w:space="0" w:color="auto"/>
        <w:left w:val="none" w:sz="0" w:space="0" w:color="auto"/>
        <w:bottom w:val="none" w:sz="0" w:space="0" w:color="auto"/>
        <w:right w:val="none" w:sz="0" w:space="0" w:color="auto"/>
      </w:divBdr>
    </w:div>
    <w:div w:id="443887713">
      <w:bodyDiv w:val="1"/>
      <w:marLeft w:val="0"/>
      <w:marRight w:val="0"/>
      <w:marTop w:val="0"/>
      <w:marBottom w:val="0"/>
      <w:divBdr>
        <w:top w:val="none" w:sz="0" w:space="0" w:color="auto"/>
        <w:left w:val="none" w:sz="0" w:space="0" w:color="auto"/>
        <w:bottom w:val="none" w:sz="0" w:space="0" w:color="auto"/>
        <w:right w:val="none" w:sz="0" w:space="0" w:color="auto"/>
      </w:divBdr>
    </w:div>
    <w:div w:id="444423407">
      <w:bodyDiv w:val="1"/>
      <w:marLeft w:val="0"/>
      <w:marRight w:val="0"/>
      <w:marTop w:val="0"/>
      <w:marBottom w:val="0"/>
      <w:divBdr>
        <w:top w:val="none" w:sz="0" w:space="0" w:color="auto"/>
        <w:left w:val="none" w:sz="0" w:space="0" w:color="auto"/>
        <w:bottom w:val="none" w:sz="0" w:space="0" w:color="auto"/>
        <w:right w:val="none" w:sz="0" w:space="0" w:color="auto"/>
      </w:divBdr>
    </w:div>
    <w:div w:id="445387991">
      <w:bodyDiv w:val="1"/>
      <w:marLeft w:val="0"/>
      <w:marRight w:val="0"/>
      <w:marTop w:val="0"/>
      <w:marBottom w:val="0"/>
      <w:divBdr>
        <w:top w:val="none" w:sz="0" w:space="0" w:color="auto"/>
        <w:left w:val="none" w:sz="0" w:space="0" w:color="auto"/>
        <w:bottom w:val="none" w:sz="0" w:space="0" w:color="auto"/>
        <w:right w:val="none" w:sz="0" w:space="0" w:color="auto"/>
      </w:divBdr>
    </w:div>
    <w:div w:id="445925947">
      <w:bodyDiv w:val="1"/>
      <w:marLeft w:val="0"/>
      <w:marRight w:val="0"/>
      <w:marTop w:val="0"/>
      <w:marBottom w:val="0"/>
      <w:divBdr>
        <w:top w:val="none" w:sz="0" w:space="0" w:color="auto"/>
        <w:left w:val="none" w:sz="0" w:space="0" w:color="auto"/>
        <w:bottom w:val="none" w:sz="0" w:space="0" w:color="auto"/>
        <w:right w:val="none" w:sz="0" w:space="0" w:color="auto"/>
      </w:divBdr>
    </w:div>
    <w:div w:id="446657528">
      <w:bodyDiv w:val="1"/>
      <w:marLeft w:val="0"/>
      <w:marRight w:val="0"/>
      <w:marTop w:val="0"/>
      <w:marBottom w:val="0"/>
      <w:divBdr>
        <w:top w:val="none" w:sz="0" w:space="0" w:color="auto"/>
        <w:left w:val="none" w:sz="0" w:space="0" w:color="auto"/>
        <w:bottom w:val="none" w:sz="0" w:space="0" w:color="auto"/>
        <w:right w:val="none" w:sz="0" w:space="0" w:color="auto"/>
      </w:divBdr>
    </w:div>
    <w:div w:id="452215449">
      <w:bodyDiv w:val="1"/>
      <w:marLeft w:val="0"/>
      <w:marRight w:val="0"/>
      <w:marTop w:val="0"/>
      <w:marBottom w:val="0"/>
      <w:divBdr>
        <w:top w:val="none" w:sz="0" w:space="0" w:color="auto"/>
        <w:left w:val="none" w:sz="0" w:space="0" w:color="auto"/>
        <w:bottom w:val="none" w:sz="0" w:space="0" w:color="auto"/>
        <w:right w:val="none" w:sz="0" w:space="0" w:color="auto"/>
      </w:divBdr>
    </w:div>
    <w:div w:id="454492808">
      <w:bodyDiv w:val="1"/>
      <w:marLeft w:val="0"/>
      <w:marRight w:val="0"/>
      <w:marTop w:val="0"/>
      <w:marBottom w:val="0"/>
      <w:divBdr>
        <w:top w:val="none" w:sz="0" w:space="0" w:color="auto"/>
        <w:left w:val="none" w:sz="0" w:space="0" w:color="auto"/>
        <w:bottom w:val="none" w:sz="0" w:space="0" w:color="auto"/>
        <w:right w:val="none" w:sz="0" w:space="0" w:color="auto"/>
      </w:divBdr>
    </w:div>
    <w:div w:id="455416270">
      <w:bodyDiv w:val="1"/>
      <w:marLeft w:val="0"/>
      <w:marRight w:val="0"/>
      <w:marTop w:val="0"/>
      <w:marBottom w:val="0"/>
      <w:divBdr>
        <w:top w:val="none" w:sz="0" w:space="0" w:color="auto"/>
        <w:left w:val="none" w:sz="0" w:space="0" w:color="auto"/>
        <w:bottom w:val="none" w:sz="0" w:space="0" w:color="auto"/>
        <w:right w:val="none" w:sz="0" w:space="0" w:color="auto"/>
      </w:divBdr>
    </w:div>
    <w:div w:id="456334131">
      <w:bodyDiv w:val="1"/>
      <w:marLeft w:val="0"/>
      <w:marRight w:val="0"/>
      <w:marTop w:val="0"/>
      <w:marBottom w:val="0"/>
      <w:divBdr>
        <w:top w:val="none" w:sz="0" w:space="0" w:color="auto"/>
        <w:left w:val="none" w:sz="0" w:space="0" w:color="auto"/>
        <w:bottom w:val="none" w:sz="0" w:space="0" w:color="auto"/>
        <w:right w:val="none" w:sz="0" w:space="0" w:color="auto"/>
      </w:divBdr>
    </w:div>
    <w:div w:id="456795797">
      <w:bodyDiv w:val="1"/>
      <w:marLeft w:val="0"/>
      <w:marRight w:val="0"/>
      <w:marTop w:val="0"/>
      <w:marBottom w:val="0"/>
      <w:divBdr>
        <w:top w:val="none" w:sz="0" w:space="0" w:color="auto"/>
        <w:left w:val="none" w:sz="0" w:space="0" w:color="auto"/>
        <w:bottom w:val="none" w:sz="0" w:space="0" w:color="auto"/>
        <w:right w:val="none" w:sz="0" w:space="0" w:color="auto"/>
      </w:divBdr>
    </w:div>
    <w:div w:id="457066625">
      <w:bodyDiv w:val="1"/>
      <w:marLeft w:val="0"/>
      <w:marRight w:val="0"/>
      <w:marTop w:val="0"/>
      <w:marBottom w:val="0"/>
      <w:divBdr>
        <w:top w:val="none" w:sz="0" w:space="0" w:color="auto"/>
        <w:left w:val="none" w:sz="0" w:space="0" w:color="auto"/>
        <w:bottom w:val="none" w:sz="0" w:space="0" w:color="auto"/>
        <w:right w:val="none" w:sz="0" w:space="0" w:color="auto"/>
      </w:divBdr>
    </w:div>
    <w:div w:id="461652882">
      <w:bodyDiv w:val="1"/>
      <w:marLeft w:val="0"/>
      <w:marRight w:val="0"/>
      <w:marTop w:val="0"/>
      <w:marBottom w:val="0"/>
      <w:divBdr>
        <w:top w:val="none" w:sz="0" w:space="0" w:color="auto"/>
        <w:left w:val="none" w:sz="0" w:space="0" w:color="auto"/>
        <w:bottom w:val="none" w:sz="0" w:space="0" w:color="auto"/>
        <w:right w:val="none" w:sz="0" w:space="0" w:color="auto"/>
      </w:divBdr>
    </w:div>
    <w:div w:id="462235813">
      <w:bodyDiv w:val="1"/>
      <w:marLeft w:val="0"/>
      <w:marRight w:val="0"/>
      <w:marTop w:val="0"/>
      <w:marBottom w:val="0"/>
      <w:divBdr>
        <w:top w:val="none" w:sz="0" w:space="0" w:color="auto"/>
        <w:left w:val="none" w:sz="0" w:space="0" w:color="auto"/>
        <w:bottom w:val="none" w:sz="0" w:space="0" w:color="auto"/>
        <w:right w:val="none" w:sz="0" w:space="0" w:color="auto"/>
      </w:divBdr>
    </w:div>
    <w:div w:id="462500516">
      <w:bodyDiv w:val="1"/>
      <w:marLeft w:val="0"/>
      <w:marRight w:val="0"/>
      <w:marTop w:val="0"/>
      <w:marBottom w:val="0"/>
      <w:divBdr>
        <w:top w:val="none" w:sz="0" w:space="0" w:color="auto"/>
        <w:left w:val="none" w:sz="0" w:space="0" w:color="auto"/>
        <w:bottom w:val="none" w:sz="0" w:space="0" w:color="auto"/>
        <w:right w:val="none" w:sz="0" w:space="0" w:color="auto"/>
      </w:divBdr>
    </w:div>
    <w:div w:id="463739559">
      <w:bodyDiv w:val="1"/>
      <w:marLeft w:val="0"/>
      <w:marRight w:val="0"/>
      <w:marTop w:val="0"/>
      <w:marBottom w:val="0"/>
      <w:divBdr>
        <w:top w:val="none" w:sz="0" w:space="0" w:color="auto"/>
        <w:left w:val="none" w:sz="0" w:space="0" w:color="auto"/>
        <w:bottom w:val="none" w:sz="0" w:space="0" w:color="auto"/>
        <w:right w:val="none" w:sz="0" w:space="0" w:color="auto"/>
      </w:divBdr>
    </w:div>
    <w:div w:id="464470729">
      <w:bodyDiv w:val="1"/>
      <w:marLeft w:val="0"/>
      <w:marRight w:val="0"/>
      <w:marTop w:val="0"/>
      <w:marBottom w:val="0"/>
      <w:divBdr>
        <w:top w:val="none" w:sz="0" w:space="0" w:color="auto"/>
        <w:left w:val="none" w:sz="0" w:space="0" w:color="auto"/>
        <w:bottom w:val="none" w:sz="0" w:space="0" w:color="auto"/>
        <w:right w:val="none" w:sz="0" w:space="0" w:color="auto"/>
      </w:divBdr>
    </w:div>
    <w:div w:id="465122285">
      <w:bodyDiv w:val="1"/>
      <w:marLeft w:val="0"/>
      <w:marRight w:val="0"/>
      <w:marTop w:val="0"/>
      <w:marBottom w:val="0"/>
      <w:divBdr>
        <w:top w:val="none" w:sz="0" w:space="0" w:color="auto"/>
        <w:left w:val="none" w:sz="0" w:space="0" w:color="auto"/>
        <w:bottom w:val="none" w:sz="0" w:space="0" w:color="auto"/>
        <w:right w:val="none" w:sz="0" w:space="0" w:color="auto"/>
      </w:divBdr>
    </w:div>
    <w:div w:id="466633293">
      <w:bodyDiv w:val="1"/>
      <w:marLeft w:val="0"/>
      <w:marRight w:val="0"/>
      <w:marTop w:val="0"/>
      <w:marBottom w:val="0"/>
      <w:divBdr>
        <w:top w:val="none" w:sz="0" w:space="0" w:color="auto"/>
        <w:left w:val="none" w:sz="0" w:space="0" w:color="auto"/>
        <w:bottom w:val="none" w:sz="0" w:space="0" w:color="auto"/>
        <w:right w:val="none" w:sz="0" w:space="0" w:color="auto"/>
      </w:divBdr>
    </w:div>
    <w:div w:id="467431556">
      <w:bodyDiv w:val="1"/>
      <w:marLeft w:val="0"/>
      <w:marRight w:val="0"/>
      <w:marTop w:val="0"/>
      <w:marBottom w:val="0"/>
      <w:divBdr>
        <w:top w:val="none" w:sz="0" w:space="0" w:color="auto"/>
        <w:left w:val="none" w:sz="0" w:space="0" w:color="auto"/>
        <w:bottom w:val="none" w:sz="0" w:space="0" w:color="auto"/>
        <w:right w:val="none" w:sz="0" w:space="0" w:color="auto"/>
      </w:divBdr>
    </w:div>
    <w:div w:id="469129754">
      <w:bodyDiv w:val="1"/>
      <w:marLeft w:val="0"/>
      <w:marRight w:val="0"/>
      <w:marTop w:val="0"/>
      <w:marBottom w:val="0"/>
      <w:divBdr>
        <w:top w:val="none" w:sz="0" w:space="0" w:color="auto"/>
        <w:left w:val="none" w:sz="0" w:space="0" w:color="auto"/>
        <w:bottom w:val="none" w:sz="0" w:space="0" w:color="auto"/>
        <w:right w:val="none" w:sz="0" w:space="0" w:color="auto"/>
      </w:divBdr>
    </w:div>
    <w:div w:id="470876405">
      <w:bodyDiv w:val="1"/>
      <w:marLeft w:val="0"/>
      <w:marRight w:val="0"/>
      <w:marTop w:val="0"/>
      <w:marBottom w:val="0"/>
      <w:divBdr>
        <w:top w:val="none" w:sz="0" w:space="0" w:color="auto"/>
        <w:left w:val="none" w:sz="0" w:space="0" w:color="auto"/>
        <w:bottom w:val="none" w:sz="0" w:space="0" w:color="auto"/>
        <w:right w:val="none" w:sz="0" w:space="0" w:color="auto"/>
      </w:divBdr>
    </w:div>
    <w:div w:id="471563545">
      <w:bodyDiv w:val="1"/>
      <w:marLeft w:val="0"/>
      <w:marRight w:val="0"/>
      <w:marTop w:val="0"/>
      <w:marBottom w:val="0"/>
      <w:divBdr>
        <w:top w:val="none" w:sz="0" w:space="0" w:color="auto"/>
        <w:left w:val="none" w:sz="0" w:space="0" w:color="auto"/>
        <w:bottom w:val="none" w:sz="0" w:space="0" w:color="auto"/>
        <w:right w:val="none" w:sz="0" w:space="0" w:color="auto"/>
      </w:divBdr>
    </w:div>
    <w:div w:id="474180457">
      <w:bodyDiv w:val="1"/>
      <w:marLeft w:val="0"/>
      <w:marRight w:val="0"/>
      <w:marTop w:val="0"/>
      <w:marBottom w:val="0"/>
      <w:divBdr>
        <w:top w:val="none" w:sz="0" w:space="0" w:color="auto"/>
        <w:left w:val="none" w:sz="0" w:space="0" w:color="auto"/>
        <w:bottom w:val="none" w:sz="0" w:space="0" w:color="auto"/>
        <w:right w:val="none" w:sz="0" w:space="0" w:color="auto"/>
      </w:divBdr>
    </w:div>
    <w:div w:id="475298226">
      <w:bodyDiv w:val="1"/>
      <w:marLeft w:val="0"/>
      <w:marRight w:val="0"/>
      <w:marTop w:val="0"/>
      <w:marBottom w:val="0"/>
      <w:divBdr>
        <w:top w:val="none" w:sz="0" w:space="0" w:color="auto"/>
        <w:left w:val="none" w:sz="0" w:space="0" w:color="auto"/>
        <w:bottom w:val="none" w:sz="0" w:space="0" w:color="auto"/>
        <w:right w:val="none" w:sz="0" w:space="0" w:color="auto"/>
      </w:divBdr>
    </w:div>
    <w:div w:id="477192479">
      <w:bodyDiv w:val="1"/>
      <w:marLeft w:val="0"/>
      <w:marRight w:val="0"/>
      <w:marTop w:val="0"/>
      <w:marBottom w:val="0"/>
      <w:divBdr>
        <w:top w:val="none" w:sz="0" w:space="0" w:color="auto"/>
        <w:left w:val="none" w:sz="0" w:space="0" w:color="auto"/>
        <w:bottom w:val="none" w:sz="0" w:space="0" w:color="auto"/>
        <w:right w:val="none" w:sz="0" w:space="0" w:color="auto"/>
      </w:divBdr>
    </w:div>
    <w:div w:id="477696636">
      <w:bodyDiv w:val="1"/>
      <w:marLeft w:val="0"/>
      <w:marRight w:val="0"/>
      <w:marTop w:val="0"/>
      <w:marBottom w:val="0"/>
      <w:divBdr>
        <w:top w:val="none" w:sz="0" w:space="0" w:color="auto"/>
        <w:left w:val="none" w:sz="0" w:space="0" w:color="auto"/>
        <w:bottom w:val="none" w:sz="0" w:space="0" w:color="auto"/>
        <w:right w:val="none" w:sz="0" w:space="0" w:color="auto"/>
      </w:divBdr>
    </w:div>
    <w:div w:id="479537728">
      <w:bodyDiv w:val="1"/>
      <w:marLeft w:val="0"/>
      <w:marRight w:val="0"/>
      <w:marTop w:val="0"/>
      <w:marBottom w:val="0"/>
      <w:divBdr>
        <w:top w:val="none" w:sz="0" w:space="0" w:color="auto"/>
        <w:left w:val="none" w:sz="0" w:space="0" w:color="auto"/>
        <w:bottom w:val="none" w:sz="0" w:space="0" w:color="auto"/>
        <w:right w:val="none" w:sz="0" w:space="0" w:color="auto"/>
      </w:divBdr>
    </w:div>
    <w:div w:id="480269505">
      <w:bodyDiv w:val="1"/>
      <w:marLeft w:val="0"/>
      <w:marRight w:val="0"/>
      <w:marTop w:val="0"/>
      <w:marBottom w:val="0"/>
      <w:divBdr>
        <w:top w:val="none" w:sz="0" w:space="0" w:color="auto"/>
        <w:left w:val="none" w:sz="0" w:space="0" w:color="auto"/>
        <w:bottom w:val="none" w:sz="0" w:space="0" w:color="auto"/>
        <w:right w:val="none" w:sz="0" w:space="0" w:color="auto"/>
      </w:divBdr>
    </w:div>
    <w:div w:id="481195562">
      <w:bodyDiv w:val="1"/>
      <w:marLeft w:val="0"/>
      <w:marRight w:val="0"/>
      <w:marTop w:val="0"/>
      <w:marBottom w:val="0"/>
      <w:divBdr>
        <w:top w:val="none" w:sz="0" w:space="0" w:color="auto"/>
        <w:left w:val="none" w:sz="0" w:space="0" w:color="auto"/>
        <w:bottom w:val="none" w:sz="0" w:space="0" w:color="auto"/>
        <w:right w:val="none" w:sz="0" w:space="0" w:color="auto"/>
      </w:divBdr>
    </w:div>
    <w:div w:id="481973083">
      <w:bodyDiv w:val="1"/>
      <w:marLeft w:val="0"/>
      <w:marRight w:val="0"/>
      <w:marTop w:val="0"/>
      <w:marBottom w:val="0"/>
      <w:divBdr>
        <w:top w:val="none" w:sz="0" w:space="0" w:color="auto"/>
        <w:left w:val="none" w:sz="0" w:space="0" w:color="auto"/>
        <w:bottom w:val="none" w:sz="0" w:space="0" w:color="auto"/>
        <w:right w:val="none" w:sz="0" w:space="0" w:color="auto"/>
      </w:divBdr>
    </w:div>
    <w:div w:id="485709550">
      <w:bodyDiv w:val="1"/>
      <w:marLeft w:val="0"/>
      <w:marRight w:val="0"/>
      <w:marTop w:val="0"/>
      <w:marBottom w:val="0"/>
      <w:divBdr>
        <w:top w:val="none" w:sz="0" w:space="0" w:color="auto"/>
        <w:left w:val="none" w:sz="0" w:space="0" w:color="auto"/>
        <w:bottom w:val="none" w:sz="0" w:space="0" w:color="auto"/>
        <w:right w:val="none" w:sz="0" w:space="0" w:color="auto"/>
      </w:divBdr>
    </w:div>
    <w:div w:id="488785507">
      <w:bodyDiv w:val="1"/>
      <w:marLeft w:val="0"/>
      <w:marRight w:val="0"/>
      <w:marTop w:val="0"/>
      <w:marBottom w:val="0"/>
      <w:divBdr>
        <w:top w:val="none" w:sz="0" w:space="0" w:color="auto"/>
        <w:left w:val="none" w:sz="0" w:space="0" w:color="auto"/>
        <w:bottom w:val="none" w:sz="0" w:space="0" w:color="auto"/>
        <w:right w:val="none" w:sz="0" w:space="0" w:color="auto"/>
      </w:divBdr>
    </w:div>
    <w:div w:id="489254996">
      <w:bodyDiv w:val="1"/>
      <w:marLeft w:val="0"/>
      <w:marRight w:val="0"/>
      <w:marTop w:val="0"/>
      <w:marBottom w:val="0"/>
      <w:divBdr>
        <w:top w:val="none" w:sz="0" w:space="0" w:color="auto"/>
        <w:left w:val="none" w:sz="0" w:space="0" w:color="auto"/>
        <w:bottom w:val="none" w:sz="0" w:space="0" w:color="auto"/>
        <w:right w:val="none" w:sz="0" w:space="0" w:color="auto"/>
      </w:divBdr>
    </w:div>
    <w:div w:id="489296446">
      <w:bodyDiv w:val="1"/>
      <w:marLeft w:val="0"/>
      <w:marRight w:val="0"/>
      <w:marTop w:val="0"/>
      <w:marBottom w:val="0"/>
      <w:divBdr>
        <w:top w:val="none" w:sz="0" w:space="0" w:color="auto"/>
        <w:left w:val="none" w:sz="0" w:space="0" w:color="auto"/>
        <w:bottom w:val="none" w:sz="0" w:space="0" w:color="auto"/>
        <w:right w:val="none" w:sz="0" w:space="0" w:color="auto"/>
      </w:divBdr>
    </w:div>
    <w:div w:id="492259310">
      <w:bodyDiv w:val="1"/>
      <w:marLeft w:val="0"/>
      <w:marRight w:val="0"/>
      <w:marTop w:val="0"/>
      <w:marBottom w:val="0"/>
      <w:divBdr>
        <w:top w:val="none" w:sz="0" w:space="0" w:color="auto"/>
        <w:left w:val="none" w:sz="0" w:space="0" w:color="auto"/>
        <w:bottom w:val="none" w:sz="0" w:space="0" w:color="auto"/>
        <w:right w:val="none" w:sz="0" w:space="0" w:color="auto"/>
      </w:divBdr>
    </w:div>
    <w:div w:id="492376019">
      <w:bodyDiv w:val="1"/>
      <w:marLeft w:val="0"/>
      <w:marRight w:val="0"/>
      <w:marTop w:val="0"/>
      <w:marBottom w:val="0"/>
      <w:divBdr>
        <w:top w:val="none" w:sz="0" w:space="0" w:color="auto"/>
        <w:left w:val="none" w:sz="0" w:space="0" w:color="auto"/>
        <w:bottom w:val="none" w:sz="0" w:space="0" w:color="auto"/>
        <w:right w:val="none" w:sz="0" w:space="0" w:color="auto"/>
      </w:divBdr>
    </w:div>
    <w:div w:id="496727189">
      <w:bodyDiv w:val="1"/>
      <w:marLeft w:val="0"/>
      <w:marRight w:val="0"/>
      <w:marTop w:val="0"/>
      <w:marBottom w:val="0"/>
      <w:divBdr>
        <w:top w:val="none" w:sz="0" w:space="0" w:color="auto"/>
        <w:left w:val="none" w:sz="0" w:space="0" w:color="auto"/>
        <w:bottom w:val="none" w:sz="0" w:space="0" w:color="auto"/>
        <w:right w:val="none" w:sz="0" w:space="0" w:color="auto"/>
      </w:divBdr>
    </w:div>
    <w:div w:id="498156652">
      <w:bodyDiv w:val="1"/>
      <w:marLeft w:val="0"/>
      <w:marRight w:val="0"/>
      <w:marTop w:val="0"/>
      <w:marBottom w:val="0"/>
      <w:divBdr>
        <w:top w:val="none" w:sz="0" w:space="0" w:color="auto"/>
        <w:left w:val="none" w:sz="0" w:space="0" w:color="auto"/>
        <w:bottom w:val="none" w:sz="0" w:space="0" w:color="auto"/>
        <w:right w:val="none" w:sz="0" w:space="0" w:color="auto"/>
      </w:divBdr>
    </w:div>
    <w:div w:id="498233467">
      <w:bodyDiv w:val="1"/>
      <w:marLeft w:val="0"/>
      <w:marRight w:val="0"/>
      <w:marTop w:val="0"/>
      <w:marBottom w:val="0"/>
      <w:divBdr>
        <w:top w:val="none" w:sz="0" w:space="0" w:color="auto"/>
        <w:left w:val="none" w:sz="0" w:space="0" w:color="auto"/>
        <w:bottom w:val="none" w:sz="0" w:space="0" w:color="auto"/>
        <w:right w:val="none" w:sz="0" w:space="0" w:color="auto"/>
      </w:divBdr>
    </w:div>
    <w:div w:id="501630823">
      <w:bodyDiv w:val="1"/>
      <w:marLeft w:val="0"/>
      <w:marRight w:val="0"/>
      <w:marTop w:val="0"/>
      <w:marBottom w:val="0"/>
      <w:divBdr>
        <w:top w:val="none" w:sz="0" w:space="0" w:color="auto"/>
        <w:left w:val="none" w:sz="0" w:space="0" w:color="auto"/>
        <w:bottom w:val="none" w:sz="0" w:space="0" w:color="auto"/>
        <w:right w:val="none" w:sz="0" w:space="0" w:color="auto"/>
      </w:divBdr>
    </w:div>
    <w:div w:id="501701805">
      <w:bodyDiv w:val="1"/>
      <w:marLeft w:val="0"/>
      <w:marRight w:val="0"/>
      <w:marTop w:val="0"/>
      <w:marBottom w:val="0"/>
      <w:divBdr>
        <w:top w:val="none" w:sz="0" w:space="0" w:color="auto"/>
        <w:left w:val="none" w:sz="0" w:space="0" w:color="auto"/>
        <w:bottom w:val="none" w:sz="0" w:space="0" w:color="auto"/>
        <w:right w:val="none" w:sz="0" w:space="0" w:color="auto"/>
      </w:divBdr>
    </w:div>
    <w:div w:id="502168593">
      <w:bodyDiv w:val="1"/>
      <w:marLeft w:val="0"/>
      <w:marRight w:val="0"/>
      <w:marTop w:val="0"/>
      <w:marBottom w:val="0"/>
      <w:divBdr>
        <w:top w:val="none" w:sz="0" w:space="0" w:color="auto"/>
        <w:left w:val="none" w:sz="0" w:space="0" w:color="auto"/>
        <w:bottom w:val="none" w:sz="0" w:space="0" w:color="auto"/>
        <w:right w:val="none" w:sz="0" w:space="0" w:color="auto"/>
      </w:divBdr>
    </w:div>
    <w:div w:id="505949637">
      <w:bodyDiv w:val="1"/>
      <w:marLeft w:val="0"/>
      <w:marRight w:val="0"/>
      <w:marTop w:val="0"/>
      <w:marBottom w:val="0"/>
      <w:divBdr>
        <w:top w:val="none" w:sz="0" w:space="0" w:color="auto"/>
        <w:left w:val="none" w:sz="0" w:space="0" w:color="auto"/>
        <w:bottom w:val="none" w:sz="0" w:space="0" w:color="auto"/>
        <w:right w:val="none" w:sz="0" w:space="0" w:color="auto"/>
      </w:divBdr>
    </w:div>
    <w:div w:id="506023330">
      <w:bodyDiv w:val="1"/>
      <w:marLeft w:val="0"/>
      <w:marRight w:val="0"/>
      <w:marTop w:val="0"/>
      <w:marBottom w:val="0"/>
      <w:divBdr>
        <w:top w:val="none" w:sz="0" w:space="0" w:color="auto"/>
        <w:left w:val="none" w:sz="0" w:space="0" w:color="auto"/>
        <w:bottom w:val="none" w:sz="0" w:space="0" w:color="auto"/>
        <w:right w:val="none" w:sz="0" w:space="0" w:color="auto"/>
      </w:divBdr>
    </w:div>
    <w:div w:id="506557114">
      <w:bodyDiv w:val="1"/>
      <w:marLeft w:val="0"/>
      <w:marRight w:val="0"/>
      <w:marTop w:val="0"/>
      <w:marBottom w:val="0"/>
      <w:divBdr>
        <w:top w:val="none" w:sz="0" w:space="0" w:color="auto"/>
        <w:left w:val="none" w:sz="0" w:space="0" w:color="auto"/>
        <w:bottom w:val="none" w:sz="0" w:space="0" w:color="auto"/>
        <w:right w:val="none" w:sz="0" w:space="0" w:color="auto"/>
      </w:divBdr>
    </w:div>
    <w:div w:id="509949866">
      <w:bodyDiv w:val="1"/>
      <w:marLeft w:val="0"/>
      <w:marRight w:val="0"/>
      <w:marTop w:val="0"/>
      <w:marBottom w:val="0"/>
      <w:divBdr>
        <w:top w:val="none" w:sz="0" w:space="0" w:color="auto"/>
        <w:left w:val="none" w:sz="0" w:space="0" w:color="auto"/>
        <w:bottom w:val="none" w:sz="0" w:space="0" w:color="auto"/>
        <w:right w:val="none" w:sz="0" w:space="0" w:color="auto"/>
      </w:divBdr>
    </w:div>
    <w:div w:id="510486645">
      <w:bodyDiv w:val="1"/>
      <w:marLeft w:val="0"/>
      <w:marRight w:val="0"/>
      <w:marTop w:val="0"/>
      <w:marBottom w:val="0"/>
      <w:divBdr>
        <w:top w:val="none" w:sz="0" w:space="0" w:color="auto"/>
        <w:left w:val="none" w:sz="0" w:space="0" w:color="auto"/>
        <w:bottom w:val="none" w:sz="0" w:space="0" w:color="auto"/>
        <w:right w:val="none" w:sz="0" w:space="0" w:color="auto"/>
      </w:divBdr>
    </w:div>
    <w:div w:id="511383328">
      <w:bodyDiv w:val="1"/>
      <w:marLeft w:val="0"/>
      <w:marRight w:val="0"/>
      <w:marTop w:val="0"/>
      <w:marBottom w:val="0"/>
      <w:divBdr>
        <w:top w:val="none" w:sz="0" w:space="0" w:color="auto"/>
        <w:left w:val="none" w:sz="0" w:space="0" w:color="auto"/>
        <w:bottom w:val="none" w:sz="0" w:space="0" w:color="auto"/>
        <w:right w:val="none" w:sz="0" w:space="0" w:color="auto"/>
      </w:divBdr>
    </w:div>
    <w:div w:id="513424517">
      <w:bodyDiv w:val="1"/>
      <w:marLeft w:val="0"/>
      <w:marRight w:val="0"/>
      <w:marTop w:val="0"/>
      <w:marBottom w:val="0"/>
      <w:divBdr>
        <w:top w:val="none" w:sz="0" w:space="0" w:color="auto"/>
        <w:left w:val="none" w:sz="0" w:space="0" w:color="auto"/>
        <w:bottom w:val="none" w:sz="0" w:space="0" w:color="auto"/>
        <w:right w:val="none" w:sz="0" w:space="0" w:color="auto"/>
      </w:divBdr>
    </w:div>
    <w:div w:id="515118305">
      <w:bodyDiv w:val="1"/>
      <w:marLeft w:val="0"/>
      <w:marRight w:val="0"/>
      <w:marTop w:val="0"/>
      <w:marBottom w:val="0"/>
      <w:divBdr>
        <w:top w:val="none" w:sz="0" w:space="0" w:color="auto"/>
        <w:left w:val="none" w:sz="0" w:space="0" w:color="auto"/>
        <w:bottom w:val="none" w:sz="0" w:space="0" w:color="auto"/>
        <w:right w:val="none" w:sz="0" w:space="0" w:color="auto"/>
      </w:divBdr>
    </w:div>
    <w:div w:id="516383445">
      <w:bodyDiv w:val="1"/>
      <w:marLeft w:val="0"/>
      <w:marRight w:val="0"/>
      <w:marTop w:val="0"/>
      <w:marBottom w:val="0"/>
      <w:divBdr>
        <w:top w:val="none" w:sz="0" w:space="0" w:color="auto"/>
        <w:left w:val="none" w:sz="0" w:space="0" w:color="auto"/>
        <w:bottom w:val="none" w:sz="0" w:space="0" w:color="auto"/>
        <w:right w:val="none" w:sz="0" w:space="0" w:color="auto"/>
      </w:divBdr>
    </w:div>
    <w:div w:id="516389413">
      <w:bodyDiv w:val="1"/>
      <w:marLeft w:val="0"/>
      <w:marRight w:val="0"/>
      <w:marTop w:val="0"/>
      <w:marBottom w:val="0"/>
      <w:divBdr>
        <w:top w:val="none" w:sz="0" w:space="0" w:color="auto"/>
        <w:left w:val="none" w:sz="0" w:space="0" w:color="auto"/>
        <w:bottom w:val="none" w:sz="0" w:space="0" w:color="auto"/>
        <w:right w:val="none" w:sz="0" w:space="0" w:color="auto"/>
      </w:divBdr>
    </w:div>
    <w:div w:id="517281539">
      <w:bodyDiv w:val="1"/>
      <w:marLeft w:val="0"/>
      <w:marRight w:val="0"/>
      <w:marTop w:val="0"/>
      <w:marBottom w:val="0"/>
      <w:divBdr>
        <w:top w:val="none" w:sz="0" w:space="0" w:color="auto"/>
        <w:left w:val="none" w:sz="0" w:space="0" w:color="auto"/>
        <w:bottom w:val="none" w:sz="0" w:space="0" w:color="auto"/>
        <w:right w:val="none" w:sz="0" w:space="0" w:color="auto"/>
      </w:divBdr>
    </w:div>
    <w:div w:id="521937707">
      <w:bodyDiv w:val="1"/>
      <w:marLeft w:val="0"/>
      <w:marRight w:val="0"/>
      <w:marTop w:val="0"/>
      <w:marBottom w:val="0"/>
      <w:divBdr>
        <w:top w:val="none" w:sz="0" w:space="0" w:color="auto"/>
        <w:left w:val="none" w:sz="0" w:space="0" w:color="auto"/>
        <w:bottom w:val="none" w:sz="0" w:space="0" w:color="auto"/>
        <w:right w:val="none" w:sz="0" w:space="0" w:color="auto"/>
      </w:divBdr>
    </w:div>
    <w:div w:id="523204975">
      <w:bodyDiv w:val="1"/>
      <w:marLeft w:val="0"/>
      <w:marRight w:val="0"/>
      <w:marTop w:val="0"/>
      <w:marBottom w:val="0"/>
      <w:divBdr>
        <w:top w:val="none" w:sz="0" w:space="0" w:color="auto"/>
        <w:left w:val="none" w:sz="0" w:space="0" w:color="auto"/>
        <w:bottom w:val="none" w:sz="0" w:space="0" w:color="auto"/>
        <w:right w:val="none" w:sz="0" w:space="0" w:color="auto"/>
      </w:divBdr>
    </w:div>
    <w:div w:id="524487231">
      <w:bodyDiv w:val="1"/>
      <w:marLeft w:val="0"/>
      <w:marRight w:val="0"/>
      <w:marTop w:val="0"/>
      <w:marBottom w:val="0"/>
      <w:divBdr>
        <w:top w:val="none" w:sz="0" w:space="0" w:color="auto"/>
        <w:left w:val="none" w:sz="0" w:space="0" w:color="auto"/>
        <w:bottom w:val="none" w:sz="0" w:space="0" w:color="auto"/>
        <w:right w:val="none" w:sz="0" w:space="0" w:color="auto"/>
      </w:divBdr>
    </w:div>
    <w:div w:id="525338320">
      <w:bodyDiv w:val="1"/>
      <w:marLeft w:val="0"/>
      <w:marRight w:val="0"/>
      <w:marTop w:val="0"/>
      <w:marBottom w:val="0"/>
      <w:divBdr>
        <w:top w:val="none" w:sz="0" w:space="0" w:color="auto"/>
        <w:left w:val="none" w:sz="0" w:space="0" w:color="auto"/>
        <w:bottom w:val="none" w:sz="0" w:space="0" w:color="auto"/>
        <w:right w:val="none" w:sz="0" w:space="0" w:color="auto"/>
      </w:divBdr>
    </w:div>
    <w:div w:id="530143939">
      <w:bodyDiv w:val="1"/>
      <w:marLeft w:val="0"/>
      <w:marRight w:val="0"/>
      <w:marTop w:val="0"/>
      <w:marBottom w:val="0"/>
      <w:divBdr>
        <w:top w:val="none" w:sz="0" w:space="0" w:color="auto"/>
        <w:left w:val="none" w:sz="0" w:space="0" w:color="auto"/>
        <w:bottom w:val="none" w:sz="0" w:space="0" w:color="auto"/>
        <w:right w:val="none" w:sz="0" w:space="0" w:color="auto"/>
      </w:divBdr>
    </w:div>
    <w:div w:id="530458831">
      <w:bodyDiv w:val="1"/>
      <w:marLeft w:val="0"/>
      <w:marRight w:val="0"/>
      <w:marTop w:val="0"/>
      <w:marBottom w:val="0"/>
      <w:divBdr>
        <w:top w:val="none" w:sz="0" w:space="0" w:color="auto"/>
        <w:left w:val="none" w:sz="0" w:space="0" w:color="auto"/>
        <w:bottom w:val="none" w:sz="0" w:space="0" w:color="auto"/>
        <w:right w:val="none" w:sz="0" w:space="0" w:color="auto"/>
      </w:divBdr>
    </w:div>
    <w:div w:id="530918826">
      <w:bodyDiv w:val="1"/>
      <w:marLeft w:val="0"/>
      <w:marRight w:val="0"/>
      <w:marTop w:val="0"/>
      <w:marBottom w:val="0"/>
      <w:divBdr>
        <w:top w:val="none" w:sz="0" w:space="0" w:color="auto"/>
        <w:left w:val="none" w:sz="0" w:space="0" w:color="auto"/>
        <w:bottom w:val="none" w:sz="0" w:space="0" w:color="auto"/>
        <w:right w:val="none" w:sz="0" w:space="0" w:color="auto"/>
      </w:divBdr>
    </w:div>
    <w:div w:id="531455485">
      <w:bodyDiv w:val="1"/>
      <w:marLeft w:val="0"/>
      <w:marRight w:val="0"/>
      <w:marTop w:val="0"/>
      <w:marBottom w:val="0"/>
      <w:divBdr>
        <w:top w:val="none" w:sz="0" w:space="0" w:color="auto"/>
        <w:left w:val="none" w:sz="0" w:space="0" w:color="auto"/>
        <w:bottom w:val="none" w:sz="0" w:space="0" w:color="auto"/>
        <w:right w:val="none" w:sz="0" w:space="0" w:color="auto"/>
      </w:divBdr>
    </w:div>
    <w:div w:id="535197263">
      <w:bodyDiv w:val="1"/>
      <w:marLeft w:val="0"/>
      <w:marRight w:val="0"/>
      <w:marTop w:val="0"/>
      <w:marBottom w:val="0"/>
      <w:divBdr>
        <w:top w:val="none" w:sz="0" w:space="0" w:color="auto"/>
        <w:left w:val="none" w:sz="0" w:space="0" w:color="auto"/>
        <w:bottom w:val="none" w:sz="0" w:space="0" w:color="auto"/>
        <w:right w:val="none" w:sz="0" w:space="0" w:color="auto"/>
      </w:divBdr>
    </w:div>
    <w:div w:id="535197407">
      <w:bodyDiv w:val="1"/>
      <w:marLeft w:val="0"/>
      <w:marRight w:val="0"/>
      <w:marTop w:val="0"/>
      <w:marBottom w:val="0"/>
      <w:divBdr>
        <w:top w:val="none" w:sz="0" w:space="0" w:color="auto"/>
        <w:left w:val="none" w:sz="0" w:space="0" w:color="auto"/>
        <w:bottom w:val="none" w:sz="0" w:space="0" w:color="auto"/>
        <w:right w:val="none" w:sz="0" w:space="0" w:color="auto"/>
      </w:divBdr>
    </w:div>
    <w:div w:id="539172907">
      <w:bodyDiv w:val="1"/>
      <w:marLeft w:val="0"/>
      <w:marRight w:val="0"/>
      <w:marTop w:val="0"/>
      <w:marBottom w:val="0"/>
      <w:divBdr>
        <w:top w:val="none" w:sz="0" w:space="0" w:color="auto"/>
        <w:left w:val="none" w:sz="0" w:space="0" w:color="auto"/>
        <w:bottom w:val="none" w:sz="0" w:space="0" w:color="auto"/>
        <w:right w:val="none" w:sz="0" w:space="0" w:color="auto"/>
      </w:divBdr>
    </w:div>
    <w:div w:id="540018458">
      <w:bodyDiv w:val="1"/>
      <w:marLeft w:val="0"/>
      <w:marRight w:val="0"/>
      <w:marTop w:val="0"/>
      <w:marBottom w:val="0"/>
      <w:divBdr>
        <w:top w:val="none" w:sz="0" w:space="0" w:color="auto"/>
        <w:left w:val="none" w:sz="0" w:space="0" w:color="auto"/>
        <w:bottom w:val="none" w:sz="0" w:space="0" w:color="auto"/>
        <w:right w:val="none" w:sz="0" w:space="0" w:color="auto"/>
      </w:divBdr>
    </w:div>
    <w:div w:id="540627469">
      <w:bodyDiv w:val="1"/>
      <w:marLeft w:val="0"/>
      <w:marRight w:val="0"/>
      <w:marTop w:val="0"/>
      <w:marBottom w:val="0"/>
      <w:divBdr>
        <w:top w:val="none" w:sz="0" w:space="0" w:color="auto"/>
        <w:left w:val="none" w:sz="0" w:space="0" w:color="auto"/>
        <w:bottom w:val="none" w:sz="0" w:space="0" w:color="auto"/>
        <w:right w:val="none" w:sz="0" w:space="0" w:color="auto"/>
      </w:divBdr>
    </w:div>
    <w:div w:id="545145405">
      <w:bodyDiv w:val="1"/>
      <w:marLeft w:val="0"/>
      <w:marRight w:val="0"/>
      <w:marTop w:val="0"/>
      <w:marBottom w:val="0"/>
      <w:divBdr>
        <w:top w:val="none" w:sz="0" w:space="0" w:color="auto"/>
        <w:left w:val="none" w:sz="0" w:space="0" w:color="auto"/>
        <w:bottom w:val="none" w:sz="0" w:space="0" w:color="auto"/>
        <w:right w:val="none" w:sz="0" w:space="0" w:color="auto"/>
      </w:divBdr>
    </w:div>
    <w:div w:id="546188602">
      <w:bodyDiv w:val="1"/>
      <w:marLeft w:val="0"/>
      <w:marRight w:val="0"/>
      <w:marTop w:val="0"/>
      <w:marBottom w:val="0"/>
      <w:divBdr>
        <w:top w:val="none" w:sz="0" w:space="0" w:color="auto"/>
        <w:left w:val="none" w:sz="0" w:space="0" w:color="auto"/>
        <w:bottom w:val="none" w:sz="0" w:space="0" w:color="auto"/>
        <w:right w:val="none" w:sz="0" w:space="0" w:color="auto"/>
      </w:divBdr>
    </w:div>
    <w:div w:id="548885889">
      <w:bodyDiv w:val="1"/>
      <w:marLeft w:val="0"/>
      <w:marRight w:val="0"/>
      <w:marTop w:val="0"/>
      <w:marBottom w:val="0"/>
      <w:divBdr>
        <w:top w:val="none" w:sz="0" w:space="0" w:color="auto"/>
        <w:left w:val="none" w:sz="0" w:space="0" w:color="auto"/>
        <w:bottom w:val="none" w:sz="0" w:space="0" w:color="auto"/>
        <w:right w:val="none" w:sz="0" w:space="0" w:color="auto"/>
      </w:divBdr>
    </w:div>
    <w:div w:id="549609144">
      <w:bodyDiv w:val="1"/>
      <w:marLeft w:val="0"/>
      <w:marRight w:val="0"/>
      <w:marTop w:val="0"/>
      <w:marBottom w:val="0"/>
      <w:divBdr>
        <w:top w:val="none" w:sz="0" w:space="0" w:color="auto"/>
        <w:left w:val="none" w:sz="0" w:space="0" w:color="auto"/>
        <w:bottom w:val="none" w:sz="0" w:space="0" w:color="auto"/>
        <w:right w:val="none" w:sz="0" w:space="0" w:color="auto"/>
      </w:divBdr>
    </w:div>
    <w:div w:id="551355401">
      <w:bodyDiv w:val="1"/>
      <w:marLeft w:val="0"/>
      <w:marRight w:val="0"/>
      <w:marTop w:val="0"/>
      <w:marBottom w:val="0"/>
      <w:divBdr>
        <w:top w:val="none" w:sz="0" w:space="0" w:color="auto"/>
        <w:left w:val="none" w:sz="0" w:space="0" w:color="auto"/>
        <w:bottom w:val="none" w:sz="0" w:space="0" w:color="auto"/>
        <w:right w:val="none" w:sz="0" w:space="0" w:color="auto"/>
      </w:divBdr>
    </w:div>
    <w:div w:id="554783797">
      <w:bodyDiv w:val="1"/>
      <w:marLeft w:val="0"/>
      <w:marRight w:val="0"/>
      <w:marTop w:val="0"/>
      <w:marBottom w:val="0"/>
      <w:divBdr>
        <w:top w:val="none" w:sz="0" w:space="0" w:color="auto"/>
        <w:left w:val="none" w:sz="0" w:space="0" w:color="auto"/>
        <w:bottom w:val="none" w:sz="0" w:space="0" w:color="auto"/>
        <w:right w:val="none" w:sz="0" w:space="0" w:color="auto"/>
      </w:divBdr>
    </w:div>
    <w:div w:id="557284533">
      <w:bodyDiv w:val="1"/>
      <w:marLeft w:val="0"/>
      <w:marRight w:val="0"/>
      <w:marTop w:val="0"/>
      <w:marBottom w:val="0"/>
      <w:divBdr>
        <w:top w:val="none" w:sz="0" w:space="0" w:color="auto"/>
        <w:left w:val="none" w:sz="0" w:space="0" w:color="auto"/>
        <w:bottom w:val="none" w:sz="0" w:space="0" w:color="auto"/>
        <w:right w:val="none" w:sz="0" w:space="0" w:color="auto"/>
      </w:divBdr>
    </w:div>
    <w:div w:id="558442578">
      <w:bodyDiv w:val="1"/>
      <w:marLeft w:val="0"/>
      <w:marRight w:val="0"/>
      <w:marTop w:val="0"/>
      <w:marBottom w:val="0"/>
      <w:divBdr>
        <w:top w:val="none" w:sz="0" w:space="0" w:color="auto"/>
        <w:left w:val="none" w:sz="0" w:space="0" w:color="auto"/>
        <w:bottom w:val="none" w:sz="0" w:space="0" w:color="auto"/>
        <w:right w:val="none" w:sz="0" w:space="0" w:color="auto"/>
      </w:divBdr>
    </w:div>
    <w:div w:id="559829774">
      <w:bodyDiv w:val="1"/>
      <w:marLeft w:val="0"/>
      <w:marRight w:val="0"/>
      <w:marTop w:val="0"/>
      <w:marBottom w:val="0"/>
      <w:divBdr>
        <w:top w:val="none" w:sz="0" w:space="0" w:color="auto"/>
        <w:left w:val="none" w:sz="0" w:space="0" w:color="auto"/>
        <w:bottom w:val="none" w:sz="0" w:space="0" w:color="auto"/>
        <w:right w:val="none" w:sz="0" w:space="0" w:color="auto"/>
      </w:divBdr>
    </w:div>
    <w:div w:id="563683282">
      <w:bodyDiv w:val="1"/>
      <w:marLeft w:val="0"/>
      <w:marRight w:val="0"/>
      <w:marTop w:val="0"/>
      <w:marBottom w:val="0"/>
      <w:divBdr>
        <w:top w:val="none" w:sz="0" w:space="0" w:color="auto"/>
        <w:left w:val="none" w:sz="0" w:space="0" w:color="auto"/>
        <w:bottom w:val="none" w:sz="0" w:space="0" w:color="auto"/>
        <w:right w:val="none" w:sz="0" w:space="0" w:color="auto"/>
      </w:divBdr>
    </w:div>
    <w:div w:id="563956444">
      <w:bodyDiv w:val="1"/>
      <w:marLeft w:val="0"/>
      <w:marRight w:val="0"/>
      <w:marTop w:val="0"/>
      <w:marBottom w:val="0"/>
      <w:divBdr>
        <w:top w:val="none" w:sz="0" w:space="0" w:color="auto"/>
        <w:left w:val="none" w:sz="0" w:space="0" w:color="auto"/>
        <w:bottom w:val="none" w:sz="0" w:space="0" w:color="auto"/>
        <w:right w:val="none" w:sz="0" w:space="0" w:color="auto"/>
      </w:divBdr>
    </w:div>
    <w:div w:id="564730361">
      <w:bodyDiv w:val="1"/>
      <w:marLeft w:val="0"/>
      <w:marRight w:val="0"/>
      <w:marTop w:val="0"/>
      <w:marBottom w:val="0"/>
      <w:divBdr>
        <w:top w:val="none" w:sz="0" w:space="0" w:color="auto"/>
        <w:left w:val="none" w:sz="0" w:space="0" w:color="auto"/>
        <w:bottom w:val="none" w:sz="0" w:space="0" w:color="auto"/>
        <w:right w:val="none" w:sz="0" w:space="0" w:color="auto"/>
      </w:divBdr>
    </w:div>
    <w:div w:id="565727967">
      <w:bodyDiv w:val="1"/>
      <w:marLeft w:val="0"/>
      <w:marRight w:val="0"/>
      <w:marTop w:val="0"/>
      <w:marBottom w:val="0"/>
      <w:divBdr>
        <w:top w:val="none" w:sz="0" w:space="0" w:color="auto"/>
        <w:left w:val="none" w:sz="0" w:space="0" w:color="auto"/>
        <w:bottom w:val="none" w:sz="0" w:space="0" w:color="auto"/>
        <w:right w:val="none" w:sz="0" w:space="0" w:color="auto"/>
      </w:divBdr>
    </w:div>
    <w:div w:id="566696055">
      <w:bodyDiv w:val="1"/>
      <w:marLeft w:val="0"/>
      <w:marRight w:val="0"/>
      <w:marTop w:val="0"/>
      <w:marBottom w:val="0"/>
      <w:divBdr>
        <w:top w:val="none" w:sz="0" w:space="0" w:color="auto"/>
        <w:left w:val="none" w:sz="0" w:space="0" w:color="auto"/>
        <w:bottom w:val="none" w:sz="0" w:space="0" w:color="auto"/>
        <w:right w:val="none" w:sz="0" w:space="0" w:color="auto"/>
      </w:divBdr>
    </w:div>
    <w:div w:id="568661154">
      <w:bodyDiv w:val="1"/>
      <w:marLeft w:val="0"/>
      <w:marRight w:val="0"/>
      <w:marTop w:val="0"/>
      <w:marBottom w:val="0"/>
      <w:divBdr>
        <w:top w:val="none" w:sz="0" w:space="0" w:color="auto"/>
        <w:left w:val="none" w:sz="0" w:space="0" w:color="auto"/>
        <w:bottom w:val="none" w:sz="0" w:space="0" w:color="auto"/>
        <w:right w:val="none" w:sz="0" w:space="0" w:color="auto"/>
      </w:divBdr>
    </w:div>
    <w:div w:id="569115144">
      <w:bodyDiv w:val="1"/>
      <w:marLeft w:val="0"/>
      <w:marRight w:val="0"/>
      <w:marTop w:val="0"/>
      <w:marBottom w:val="0"/>
      <w:divBdr>
        <w:top w:val="none" w:sz="0" w:space="0" w:color="auto"/>
        <w:left w:val="none" w:sz="0" w:space="0" w:color="auto"/>
        <w:bottom w:val="none" w:sz="0" w:space="0" w:color="auto"/>
        <w:right w:val="none" w:sz="0" w:space="0" w:color="auto"/>
      </w:divBdr>
    </w:div>
    <w:div w:id="569342091">
      <w:bodyDiv w:val="1"/>
      <w:marLeft w:val="0"/>
      <w:marRight w:val="0"/>
      <w:marTop w:val="0"/>
      <w:marBottom w:val="0"/>
      <w:divBdr>
        <w:top w:val="none" w:sz="0" w:space="0" w:color="auto"/>
        <w:left w:val="none" w:sz="0" w:space="0" w:color="auto"/>
        <w:bottom w:val="none" w:sz="0" w:space="0" w:color="auto"/>
        <w:right w:val="none" w:sz="0" w:space="0" w:color="auto"/>
      </w:divBdr>
    </w:div>
    <w:div w:id="570971573">
      <w:bodyDiv w:val="1"/>
      <w:marLeft w:val="0"/>
      <w:marRight w:val="0"/>
      <w:marTop w:val="0"/>
      <w:marBottom w:val="0"/>
      <w:divBdr>
        <w:top w:val="none" w:sz="0" w:space="0" w:color="auto"/>
        <w:left w:val="none" w:sz="0" w:space="0" w:color="auto"/>
        <w:bottom w:val="none" w:sz="0" w:space="0" w:color="auto"/>
        <w:right w:val="none" w:sz="0" w:space="0" w:color="auto"/>
      </w:divBdr>
    </w:div>
    <w:div w:id="571475624">
      <w:bodyDiv w:val="1"/>
      <w:marLeft w:val="0"/>
      <w:marRight w:val="0"/>
      <w:marTop w:val="0"/>
      <w:marBottom w:val="0"/>
      <w:divBdr>
        <w:top w:val="none" w:sz="0" w:space="0" w:color="auto"/>
        <w:left w:val="none" w:sz="0" w:space="0" w:color="auto"/>
        <w:bottom w:val="none" w:sz="0" w:space="0" w:color="auto"/>
        <w:right w:val="none" w:sz="0" w:space="0" w:color="auto"/>
      </w:divBdr>
    </w:div>
    <w:div w:id="571547637">
      <w:bodyDiv w:val="1"/>
      <w:marLeft w:val="0"/>
      <w:marRight w:val="0"/>
      <w:marTop w:val="0"/>
      <w:marBottom w:val="0"/>
      <w:divBdr>
        <w:top w:val="none" w:sz="0" w:space="0" w:color="auto"/>
        <w:left w:val="none" w:sz="0" w:space="0" w:color="auto"/>
        <w:bottom w:val="none" w:sz="0" w:space="0" w:color="auto"/>
        <w:right w:val="none" w:sz="0" w:space="0" w:color="auto"/>
      </w:divBdr>
    </w:div>
    <w:div w:id="572131211">
      <w:bodyDiv w:val="1"/>
      <w:marLeft w:val="0"/>
      <w:marRight w:val="0"/>
      <w:marTop w:val="0"/>
      <w:marBottom w:val="0"/>
      <w:divBdr>
        <w:top w:val="none" w:sz="0" w:space="0" w:color="auto"/>
        <w:left w:val="none" w:sz="0" w:space="0" w:color="auto"/>
        <w:bottom w:val="none" w:sz="0" w:space="0" w:color="auto"/>
        <w:right w:val="none" w:sz="0" w:space="0" w:color="auto"/>
      </w:divBdr>
    </w:div>
    <w:div w:id="572131436">
      <w:bodyDiv w:val="1"/>
      <w:marLeft w:val="0"/>
      <w:marRight w:val="0"/>
      <w:marTop w:val="0"/>
      <w:marBottom w:val="0"/>
      <w:divBdr>
        <w:top w:val="none" w:sz="0" w:space="0" w:color="auto"/>
        <w:left w:val="none" w:sz="0" w:space="0" w:color="auto"/>
        <w:bottom w:val="none" w:sz="0" w:space="0" w:color="auto"/>
        <w:right w:val="none" w:sz="0" w:space="0" w:color="auto"/>
      </w:divBdr>
    </w:div>
    <w:div w:id="574511076">
      <w:bodyDiv w:val="1"/>
      <w:marLeft w:val="0"/>
      <w:marRight w:val="0"/>
      <w:marTop w:val="0"/>
      <w:marBottom w:val="0"/>
      <w:divBdr>
        <w:top w:val="none" w:sz="0" w:space="0" w:color="auto"/>
        <w:left w:val="none" w:sz="0" w:space="0" w:color="auto"/>
        <w:bottom w:val="none" w:sz="0" w:space="0" w:color="auto"/>
        <w:right w:val="none" w:sz="0" w:space="0" w:color="auto"/>
      </w:divBdr>
    </w:div>
    <w:div w:id="576137977">
      <w:bodyDiv w:val="1"/>
      <w:marLeft w:val="0"/>
      <w:marRight w:val="0"/>
      <w:marTop w:val="0"/>
      <w:marBottom w:val="0"/>
      <w:divBdr>
        <w:top w:val="none" w:sz="0" w:space="0" w:color="auto"/>
        <w:left w:val="none" w:sz="0" w:space="0" w:color="auto"/>
        <w:bottom w:val="none" w:sz="0" w:space="0" w:color="auto"/>
        <w:right w:val="none" w:sz="0" w:space="0" w:color="auto"/>
      </w:divBdr>
    </w:div>
    <w:div w:id="576668757">
      <w:bodyDiv w:val="1"/>
      <w:marLeft w:val="0"/>
      <w:marRight w:val="0"/>
      <w:marTop w:val="0"/>
      <w:marBottom w:val="0"/>
      <w:divBdr>
        <w:top w:val="none" w:sz="0" w:space="0" w:color="auto"/>
        <w:left w:val="none" w:sz="0" w:space="0" w:color="auto"/>
        <w:bottom w:val="none" w:sz="0" w:space="0" w:color="auto"/>
        <w:right w:val="none" w:sz="0" w:space="0" w:color="auto"/>
      </w:divBdr>
    </w:div>
    <w:div w:id="578641253">
      <w:bodyDiv w:val="1"/>
      <w:marLeft w:val="0"/>
      <w:marRight w:val="0"/>
      <w:marTop w:val="0"/>
      <w:marBottom w:val="0"/>
      <w:divBdr>
        <w:top w:val="none" w:sz="0" w:space="0" w:color="auto"/>
        <w:left w:val="none" w:sz="0" w:space="0" w:color="auto"/>
        <w:bottom w:val="none" w:sz="0" w:space="0" w:color="auto"/>
        <w:right w:val="none" w:sz="0" w:space="0" w:color="auto"/>
      </w:divBdr>
    </w:div>
    <w:div w:id="581186090">
      <w:bodyDiv w:val="1"/>
      <w:marLeft w:val="0"/>
      <w:marRight w:val="0"/>
      <w:marTop w:val="0"/>
      <w:marBottom w:val="0"/>
      <w:divBdr>
        <w:top w:val="none" w:sz="0" w:space="0" w:color="auto"/>
        <w:left w:val="none" w:sz="0" w:space="0" w:color="auto"/>
        <w:bottom w:val="none" w:sz="0" w:space="0" w:color="auto"/>
        <w:right w:val="none" w:sz="0" w:space="0" w:color="auto"/>
      </w:divBdr>
    </w:div>
    <w:div w:id="584000656">
      <w:bodyDiv w:val="1"/>
      <w:marLeft w:val="0"/>
      <w:marRight w:val="0"/>
      <w:marTop w:val="0"/>
      <w:marBottom w:val="0"/>
      <w:divBdr>
        <w:top w:val="none" w:sz="0" w:space="0" w:color="auto"/>
        <w:left w:val="none" w:sz="0" w:space="0" w:color="auto"/>
        <w:bottom w:val="none" w:sz="0" w:space="0" w:color="auto"/>
        <w:right w:val="none" w:sz="0" w:space="0" w:color="auto"/>
      </w:divBdr>
    </w:div>
    <w:div w:id="585505196">
      <w:bodyDiv w:val="1"/>
      <w:marLeft w:val="0"/>
      <w:marRight w:val="0"/>
      <w:marTop w:val="0"/>
      <w:marBottom w:val="0"/>
      <w:divBdr>
        <w:top w:val="none" w:sz="0" w:space="0" w:color="auto"/>
        <w:left w:val="none" w:sz="0" w:space="0" w:color="auto"/>
        <w:bottom w:val="none" w:sz="0" w:space="0" w:color="auto"/>
        <w:right w:val="none" w:sz="0" w:space="0" w:color="auto"/>
      </w:divBdr>
    </w:div>
    <w:div w:id="586504534">
      <w:bodyDiv w:val="1"/>
      <w:marLeft w:val="0"/>
      <w:marRight w:val="0"/>
      <w:marTop w:val="0"/>
      <w:marBottom w:val="0"/>
      <w:divBdr>
        <w:top w:val="none" w:sz="0" w:space="0" w:color="auto"/>
        <w:left w:val="none" w:sz="0" w:space="0" w:color="auto"/>
        <w:bottom w:val="none" w:sz="0" w:space="0" w:color="auto"/>
        <w:right w:val="none" w:sz="0" w:space="0" w:color="auto"/>
      </w:divBdr>
    </w:div>
    <w:div w:id="587081264">
      <w:bodyDiv w:val="1"/>
      <w:marLeft w:val="0"/>
      <w:marRight w:val="0"/>
      <w:marTop w:val="0"/>
      <w:marBottom w:val="0"/>
      <w:divBdr>
        <w:top w:val="none" w:sz="0" w:space="0" w:color="auto"/>
        <w:left w:val="none" w:sz="0" w:space="0" w:color="auto"/>
        <w:bottom w:val="none" w:sz="0" w:space="0" w:color="auto"/>
        <w:right w:val="none" w:sz="0" w:space="0" w:color="auto"/>
      </w:divBdr>
    </w:div>
    <w:div w:id="587661766">
      <w:bodyDiv w:val="1"/>
      <w:marLeft w:val="0"/>
      <w:marRight w:val="0"/>
      <w:marTop w:val="0"/>
      <w:marBottom w:val="0"/>
      <w:divBdr>
        <w:top w:val="none" w:sz="0" w:space="0" w:color="auto"/>
        <w:left w:val="none" w:sz="0" w:space="0" w:color="auto"/>
        <w:bottom w:val="none" w:sz="0" w:space="0" w:color="auto"/>
        <w:right w:val="none" w:sz="0" w:space="0" w:color="auto"/>
      </w:divBdr>
    </w:div>
    <w:div w:id="589001284">
      <w:bodyDiv w:val="1"/>
      <w:marLeft w:val="0"/>
      <w:marRight w:val="0"/>
      <w:marTop w:val="0"/>
      <w:marBottom w:val="0"/>
      <w:divBdr>
        <w:top w:val="none" w:sz="0" w:space="0" w:color="auto"/>
        <w:left w:val="none" w:sz="0" w:space="0" w:color="auto"/>
        <w:bottom w:val="none" w:sz="0" w:space="0" w:color="auto"/>
        <w:right w:val="none" w:sz="0" w:space="0" w:color="auto"/>
      </w:divBdr>
    </w:div>
    <w:div w:id="592251141">
      <w:bodyDiv w:val="1"/>
      <w:marLeft w:val="0"/>
      <w:marRight w:val="0"/>
      <w:marTop w:val="0"/>
      <w:marBottom w:val="0"/>
      <w:divBdr>
        <w:top w:val="none" w:sz="0" w:space="0" w:color="auto"/>
        <w:left w:val="none" w:sz="0" w:space="0" w:color="auto"/>
        <w:bottom w:val="none" w:sz="0" w:space="0" w:color="auto"/>
        <w:right w:val="none" w:sz="0" w:space="0" w:color="auto"/>
      </w:divBdr>
    </w:div>
    <w:div w:id="596838290">
      <w:bodyDiv w:val="1"/>
      <w:marLeft w:val="0"/>
      <w:marRight w:val="0"/>
      <w:marTop w:val="0"/>
      <w:marBottom w:val="0"/>
      <w:divBdr>
        <w:top w:val="none" w:sz="0" w:space="0" w:color="auto"/>
        <w:left w:val="none" w:sz="0" w:space="0" w:color="auto"/>
        <w:bottom w:val="none" w:sz="0" w:space="0" w:color="auto"/>
        <w:right w:val="none" w:sz="0" w:space="0" w:color="auto"/>
      </w:divBdr>
    </w:div>
    <w:div w:id="605120643">
      <w:bodyDiv w:val="1"/>
      <w:marLeft w:val="0"/>
      <w:marRight w:val="0"/>
      <w:marTop w:val="0"/>
      <w:marBottom w:val="0"/>
      <w:divBdr>
        <w:top w:val="none" w:sz="0" w:space="0" w:color="auto"/>
        <w:left w:val="none" w:sz="0" w:space="0" w:color="auto"/>
        <w:bottom w:val="none" w:sz="0" w:space="0" w:color="auto"/>
        <w:right w:val="none" w:sz="0" w:space="0" w:color="auto"/>
      </w:divBdr>
    </w:div>
    <w:div w:id="606472912">
      <w:bodyDiv w:val="1"/>
      <w:marLeft w:val="0"/>
      <w:marRight w:val="0"/>
      <w:marTop w:val="0"/>
      <w:marBottom w:val="0"/>
      <w:divBdr>
        <w:top w:val="none" w:sz="0" w:space="0" w:color="auto"/>
        <w:left w:val="none" w:sz="0" w:space="0" w:color="auto"/>
        <w:bottom w:val="none" w:sz="0" w:space="0" w:color="auto"/>
        <w:right w:val="none" w:sz="0" w:space="0" w:color="auto"/>
      </w:divBdr>
    </w:div>
    <w:div w:id="607204593">
      <w:bodyDiv w:val="1"/>
      <w:marLeft w:val="0"/>
      <w:marRight w:val="0"/>
      <w:marTop w:val="0"/>
      <w:marBottom w:val="0"/>
      <w:divBdr>
        <w:top w:val="none" w:sz="0" w:space="0" w:color="auto"/>
        <w:left w:val="none" w:sz="0" w:space="0" w:color="auto"/>
        <w:bottom w:val="none" w:sz="0" w:space="0" w:color="auto"/>
        <w:right w:val="none" w:sz="0" w:space="0" w:color="auto"/>
      </w:divBdr>
    </w:div>
    <w:div w:id="609238536">
      <w:bodyDiv w:val="1"/>
      <w:marLeft w:val="0"/>
      <w:marRight w:val="0"/>
      <w:marTop w:val="0"/>
      <w:marBottom w:val="0"/>
      <w:divBdr>
        <w:top w:val="none" w:sz="0" w:space="0" w:color="auto"/>
        <w:left w:val="none" w:sz="0" w:space="0" w:color="auto"/>
        <w:bottom w:val="none" w:sz="0" w:space="0" w:color="auto"/>
        <w:right w:val="none" w:sz="0" w:space="0" w:color="auto"/>
      </w:divBdr>
    </w:div>
    <w:div w:id="611672843">
      <w:bodyDiv w:val="1"/>
      <w:marLeft w:val="0"/>
      <w:marRight w:val="0"/>
      <w:marTop w:val="0"/>
      <w:marBottom w:val="0"/>
      <w:divBdr>
        <w:top w:val="none" w:sz="0" w:space="0" w:color="auto"/>
        <w:left w:val="none" w:sz="0" w:space="0" w:color="auto"/>
        <w:bottom w:val="none" w:sz="0" w:space="0" w:color="auto"/>
        <w:right w:val="none" w:sz="0" w:space="0" w:color="auto"/>
      </w:divBdr>
      <w:divsChild>
        <w:div w:id="1922718213">
          <w:marLeft w:val="0"/>
          <w:marRight w:val="0"/>
          <w:marTop w:val="0"/>
          <w:marBottom w:val="0"/>
          <w:divBdr>
            <w:top w:val="none" w:sz="0" w:space="0" w:color="auto"/>
            <w:left w:val="none" w:sz="0" w:space="0" w:color="auto"/>
            <w:bottom w:val="none" w:sz="0" w:space="0" w:color="auto"/>
            <w:right w:val="none" w:sz="0" w:space="0" w:color="auto"/>
          </w:divBdr>
        </w:div>
      </w:divsChild>
    </w:div>
    <w:div w:id="619800386">
      <w:bodyDiv w:val="1"/>
      <w:marLeft w:val="0"/>
      <w:marRight w:val="0"/>
      <w:marTop w:val="0"/>
      <w:marBottom w:val="0"/>
      <w:divBdr>
        <w:top w:val="none" w:sz="0" w:space="0" w:color="auto"/>
        <w:left w:val="none" w:sz="0" w:space="0" w:color="auto"/>
        <w:bottom w:val="none" w:sz="0" w:space="0" w:color="auto"/>
        <w:right w:val="none" w:sz="0" w:space="0" w:color="auto"/>
      </w:divBdr>
    </w:div>
    <w:div w:id="624770452">
      <w:bodyDiv w:val="1"/>
      <w:marLeft w:val="0"/>
      <w:marRight w:val="0"/>
      <w:marTop w:val="0"/>
      <w:marBottom w:val="0"/>
      <w:divBdr>
        <w:top w:val="none" w:sz="0" w:space="0" w:color="auto"/>
        <w:left w:val="none" w:sz="0" w:space="0" w:color="auto"/>
        <w:bottom w:val="none" w:sz="0" w:space="0" w:color="auto"/>
        <w:right w:val="none" w:sz="0" w:space="0" w:color="auto"/>
      </w:divBdr>
    </w:div>
    <w:div w:id="627979918">
      <w:bodyDiv w:val="1"/>
      <w:marLeft w:val="0"/>
      <w:marRight w:val="0"/>
      <w:marTop w:val="0"/>
      <w:marBottom w:val="0"/>
      <w:divBdr>
        <w:top w:val="none" w:sz="0" w:space="0" w:color="auto"/>
        <w:left w:val="none" w:sz="0" w:space="0" w:color="auto"/>
        <w:bottom w:val="none" w:sz="0" w:space="0" w:color="auto"/>
        <w:right w:val="none" w:sz="0" w:space="0" w:color="auto"/>
      </w:divBdr>
    </w:div>
    <w:div w:id="629090584">
      <w:bodyDiv w:val="1"/>
      <w:marLeft w:val="0"/>
      <w:marRight w:val="0"/>
      <w:marTop w:val="0"/>
      <w:marBottom w:val="0"/>
      <w:divBdr>
        <w:top w:val="none" w:sz="0" w:space="0" w:color="auto"/>
        <w:left w:val="none" w:sz="0" w:space="0" w:color="auto"/>
        <w:bottom w:val="none" w:sz="0" w:space="0" w:color="auto"/>
        <w:right w:val="none" w:sz="0" w:space="0" w:color="auto"/>
      </w:divBdr>
    </w:div>
    <w:div w:id="634607449">
      <w:bodyDiv w:val="1"/>
      <w:marLeft w:val="0"/>
      <w:marRight w:val="0"/>
      <w:marTop w:val="0"/>
      <w:marBottom w:val="0"/>
      <w:divBdr>
        <w:top w:val="none" w:sz="0" w:space="0" w:color="auto"/>
        <w:left w:val="none" w:sz="0" w:space="0" w:color="auto"/>
        <w:bottom w:val="none" w:sz="0" w:space="0" w:color="auto"/>
        <w:right w:val="none" w:sz="0" w:space="0" w:color="auto"/>
      </w:divBdr>
    </w:div>
    <w:div w:id="634723617">
      <w:bodyDiv w:val="1"/>
      <w:marLeft w:val="0"/>
      <w:marRight w:val="0"/>
      <w:marTop w:val="0"/>
      <w:marBottom w:val="0"/>
      <w:divBdr>
        <w:top w:val="none" w:sz="0" w:space="0" w:color="auto"/>
        <w:left w:val="none" w:sz="0" w:space="0" w:color="auto"/>
        <w:bottom w:val="none" w:sz="0" w:space="0" w:color="auto"/>
        <w:right w:val="none" w:sz="0" w:space="0" w:color="auto"/>
      </w:divBdr>
    </w:div>
    <w:div w:id="635839827">
      <w:bodyDiv w:val="1"/>
      <w:marLeft w:val="0"/>
      <w:marRight w:val="0"/>
      <w:marTop w:val="0"/>
      <w:marBottom w:val="0"/>
      <w:divBdr>
        <w:top w:val="none" w:sz="0" w:space="0" w:color="auto"/>
        <w:left w:val="none" w:sz="0" w:space="0" w:color="auto"/>
        <w:bottom w:val="none" w:sz="0" w:space="0" w:color="auto"/>
        <w:right w:val="none" w:sz="0" w:space="0" w:color="auto"/>
      </w:divBdr>
    </w:div>
    <w:div w:id="635915602">
      <w:bodyDiv w:val="1"/>
      <w:marLeft w:val="0"/>
      <w:marRight w:val="0"/>
      <w:marTop w:val="0"/>
      <w:marBottom w:val="0"/>
      <w:divBdr>
        <w:top w:val="none" w:sz="0" w:space="0" w:color="auto"/>
        <w:left w:val="none" w:sz="0" w:space="0" w:color="auto"/>
        <w:bottom w:val="none" w:sz="0" w:space="0" w:color="auto"/>
        <w:right w:val="none" w:sz="0" w:space="0" w:color="auto"/>
      </w:divBdr>
    </w:div>
    <w:div w:id="638656789">
      <w:bodyDiv w:val="1"/>
      <w:marLeft w:val="0"/>
      <w:marRight w:val="0"/>
      <w:marTop w:val="0"/>
      <w:marBottom w:val="0"/>
      <w:divBdr>
        <w:top w:val="none" w:sz="0" w:space="0" w:color="auto"/>
        <w:left w:val="none" w:sz="0" w:space="0" w:color="auto"/>
        <w:bottom w:val="none" w:sz="0" w:space="0" w:color="auto"/>
        <w:right w:val="none" w:sz="0" w:space="0" w:color="auto"/>
      </w:divBdr>
    </w:div>
    <w:div w:id="640774293">
      <w:bodyDiv w:val="1"/>
      <w:marLeft w:val="0"/>
      <w:marRight w:val="0"/>
      <w:marTop w:val="0"/>
      <w:marBottom w:val="0"/>
      <w:divBdr>
        <w:top w:val="none" w:sz="0" w:space="0" w:color="auto"/>
        <w:left w:val="none" w:sz="0" w:space="0" w:color="auto"/>
        <w:bottom w:val="none" w:sz="0" w:space="0" w:color="auto"/>
        <w:right w:val="none" w:sz="0" w:space="0" w:color="auto"/>
      </w:divBdr>
    </w:div>
    <w:div w:id="641277376">
      <w:bodyDiv w:val="1"/>
      <w:marLeft w:val="0"/>
      <w:marRight w:val="0"/>
      <w:marTop w:val="0"/>
      <w:marBottom w:val="0"/>
      <w:divBdr>
        <w:top w:val="none" w:sz="0" w:space="0" w:color="auto"/>
        <w:left w:val="none" w:sz="0" w:space="0" w:color="auto"/>
        <w:bottom w:val="none" w:sz="0" w:space="0" w:color="auto"/>
        <w:right w:val="none" w:sz="0" w:space="0" w:color="auto"/>
      </w:divBdr>
    </w:div>
    <w:div w:id="644044007">
      <w:bodyDiv w:val="1"/>
      <w:marLeft w:val="0"/>
      <w:marRight w:val="0"/>
      <w:marTop w:val="0"/>
      <w:marBottom w:val="0"/>
      <w:divBdr>
        <w:top w:val="none" w:sz="0" w:space="0" w:color="auto"/>
        <w:left w:val="none" w:sz="0" w:space="0" w:color="auto"/>
        <w:bottom w:val="none" w:sz="0" w:space="0" w:color="auto"/>
        <w:right w:val="none" w:sz="0" w:space="0" w:color="auto"/>
      </w:divBdr>
    </w:div>
    <w:div w:id="646282239">
      <w:bodyDiv w:val="1"/>
      <w:marLeft w:val="0"/>
      <w:marRight w:val="0"/>
      <w:marTop w:val="0"/>
      <w:marBottom w:val="0"/>
      <w:divBdr>
        <w:top w:val="none" w:sz="0" w:space="0" w:color="auto"/>
        <w:left w:val="none" w:sz="0" w:space="0" w:color="auto"/>
        <w:bottom w:val="none" w:sz="0" w:space="0" w:color="auto"/>
        <w:right w:val="none" w:sz="0" w:space="0" w:color="auto"/>
      </w:divBdr>
    </w:div>
    <w:div w:id="646786006">
      <w:bodyDiv w:val="1"/>
      <w:marLeft w:val="0"/>
      <w:marRight w:val="0"/>
      <w:marTop w:val="0"/>
      <w:marBottom w:val="0"/>
      <w:divBdr>
        <w:top w:val="none" w:sz="0" w:space="0" w:color="auto"/>
        <w:left w:val="none" w:sz="0" w:space="0" w:color="auto"/>
        <w:bottom w:val="none" w:sz="0" w:space="0" w:color="auto"/>
        <w:right w:val="none" w:sz="0" w:space="0" w:color="auto"/>
      </w:divBdr>
    </w:div>
    <w:div w:id="647903555">
      <w:bodyDiv w:val="1"/>
      <w:marLeft w:val="0"/>
      <w:marRight w:val="0"/>
      <w:marTop w:val="0"/>
      <w:marBottom w:val="0"/>
      <w:divBdr>
        <w:top w:val="none" w:sz="0" w:space="0" w:color="auto"/>
        <w:left w:val="none" w:sz="0" w:space="0" w:color="auto"/>
        <w:bottom w:val="none" w:sz="0" w:space="0" w:color="auto"/>
        <w:right w:val="none" w:sz="0" w:space="0" w:color="auto"/>
      </w:divBdr>
    </w:div>
    <w:div w:id="648561811">
      <w:bodyDiv w:val="1"/>
      <w:marLeft w:val="0"/>
      <w:marRight w:val="0"/>
      <w:marTop w:val="0"/>
      <w:marBottom w:val="0"/>
      <w:divBdr>
        <w:top w:val="none" w:sz="0" w:space="0" w:color="auto"/>
        <w:left w:val="none" w:sz="0" w:space="0" w:color="auto"/>
        <w:bottom w:val="none" w:sz="0" w:space="0" w:color="auto"/>
        <w:right w:val="none" w:sz="0" w:space="0" w:color="auto"/>
      </w:divBdr>
    </w:div>
    <w:div w:id="648677419">
      <w:bodyDiv w:val="1"/>
      <w:marLeft w:val="0"/>
      <w:marRight w:val="0"/>
      <w:marTop w:val="0"/>
      <w:marBottom w:val="0"/>
      <w:divBdr>
        <w:top w:val="none" w:sz="0" w:space="0" w:color="auto"/>
        <w:left w:val="none" w:sz="0" w:space="0" w:color="auto"/>
        <w:bottom w:val="none" w:sz="0" w:space="0" w:color="auto"/>
        <w:right w:val="none" w:sz="0" w:space="0" w:color="auto"/>
      </w:divBdr>
    </w:div>
    <w:div w:id="650719703">
      <w:bodyDiv w:val="1"/>
      <w:marLeft w:val="0"/>
      <w:marRight w:val="0"/>
      <w:marTop w:val="0"/>
      <w:marBottom w:val="0"/>
      <w:divBdr>
        <w:top w:val="none" w:sz="0" w:space="0" w:color="auto"/>
        <w:left w:val="none" w:sz="0" w:space="0" w:color="auto"/>
        <w:bottom w:val="none" w:sz="0" w:space="0" w:color="auto"/>
        <w:right w:val="none" w:sz="0" w:space="0" w:color="auto"/>
      </w:divBdr>
    </w:div>
    <w:div w:id="650982915">
      <w:bodyDiv w:val="1"/>
      <w:marLeft w:val="0"/>
      <w:marRight w:val="0"/>
      <w:marTop w:val="0"/>
      <w:marBottom w:val="0"/>
      <w:divBdr>
        <w:top w:val="none" w:sz="0" w:space="0" w:color="auto"/>
        <w:left w:val="none" w:sz="0" w:space="0" w:color="auto"/>
        <w:bottom w:val="none" w:sz="0" w:space="0" w:color="auto"/>
        <w:right w:val="none" w:sz="0" w:space="0" w:color="auto"/>
      </w:divBdr>
    </w:div>
    <w:div w:id="653341214">
      <w:bodyDiv w:val="1"/>
      <w:marLeft w:val="0"/>
      <w:marRight w:val="0"/>
      <w:marTop w:val="0"/>
      <w:marBottom w:val="0"/>
      <w:divBdr>
        <w:top w:val="none" w:sz="0" w:space="0" w:color="auto"/>
        <w:left w:val="none" w:sz="0" w:space="0" w:color="auto"/>
        <w:bottom w:val="none" w:sz="0" w:space="0" w:color="auto"/>
        <w:right w:val="none" w:sz="0" w:space="0" w:color="auto"/>
      </w:divBdr>
    </w:div>
    <w:div w:id="656036485">
      <w:bodyDiv w:val="1"/>
      <w:marLeft w:val="0"/>
      <w:marRight w:val="0"/>
      <w:marTop w:val="0"/>
      <w:marBottom w:val="0"/>
      <w:divBdr>
        <w:top w:val="none" w:sz="0" w:space="0" w:color="auto"/>
        <w:left w:val="none" w:sz="0" w:space="0" w:color="auto"/>
        <w:bottom w:val="none" w:sz="0" w:space="0" w:color="auto"/>
        <w:right w:val="none" w:sz="0" w:space="0" w:color="auto"/>
      </w:divBdr>
    </w:div>
    <w:div w:id="657458200">
      <w:bodyDiv w:val="1"/>
      <w:marLeft w:val="0"/>
      <w:marRight w:val="0"/>
      <w:marTop w:val="0"/>
      <w:marBottom w:val="0"/>
      <w:divBdr>
        <w:top w:val="none" w:sz="0" w:space="0" w:color="auto"/>
        <w:left w:val="none" w:sz="0" w:space="0" w:color="auto"/>
        <w:bottom w:val="none" w:sz="0" w:space="0" w:color="auto"/>
        <w:right w:val="none" w:sz="0" w:space="0" w:color="auto"/>
      </w:divBdr>
    </w:div>
    <w:div w:id="661004353">
      <w:bodyDiv w:val="1"/>
      <w:marLeft w:val="0"/>
      <w:marRight w:val="0"/>
      <w:marTop w:val="0"/>
      <w:marBottom w:val="0"/>
      <w:divBdr>
        <w:top w:val="none" w:sz="0" w:space="0" w:color="auto"/>
        <w:left w:val="none" w:sz="0" w:space="0" w:color="auto"/>
        <w:bottom w:val="none" w:sz="0" w:space="0" w:color="auto"/>
        <w:right w:val="none" w:sz="0" w:space="0" w:color="auto"/>
      </w:divBdr>
    </w:div>
    <w:div w:id="664892805">
      <w:bodyDiv w:val="1"/>
      <w:marLeft w:val="0"/>
      <w:marRight w:val="0"/>
      <w:marTop w:val="0"/>
      <w:marBottom w:val="0"/>
      <w:divBdr>
        <w:top w:val="none" w:sz="0" w:space="0" w:color="auto"/>
        <w:left w:val="none" w:sz="0" w:space="0" w:color="auto"/>
        <w:bottom w:val="none" w:sz="0" w:space="0" w:color="auto"/>
        <w:right w:val="none" w:sz="0" w:space="0" w:color="auto"/>
      </w:divBdr>
    </w:div>
    <w:div w:id="668216046">
      <w:bodyDiv w:val="1"/>
      <w:marLeft w:val="0"/>
      <w:marRight w:val="0"/>
      <w:marTop w:val="0"/>
      <w:marBottom w:val="0"/>
      <w:divBdr>
        <w:top w:val="none" w:sz="0" w:space="0" w:color="auto"/>
        <w:left w:val="none" w:sz="0" w:space="0" w:color="auto"/>
        <w:bottom w:val="none" w:sz="0" w:space="0" w:color="auto"/>
        <w:right w:val="none" w:sz="0" w:space="0" w:color="auto"/>
      </w:divBdr>
    </w:div>
    <w:div w:id="668286502">
      <w:bodyDiv w:val="1"/>
      <w:marLeft w:val="0"/>
      <w:marRight w:val="0"/>
      <w:marTop w:val="0"/>
      <w:marBottom w:val="0"/>
      <w:divBdr>
        <w:top w:val="none" w:sz="0" w:space="0" w:color="auto"/>
        <w:left w:val="none" w:sz="0" w:space="0" w:color="auto"/>
        <w:bottom w:val="none" w:sz="0" w:space="0" w:color="auto"/>
        <w:right w:val="none" w:sz="0" w:space="0" w:color="auto"/>
      </w:divBdr>
    </w:div>
    <w:div w:id="672538242">
      <w:bodyDiv w:val="1"/>
      <w:marLeft w:val="0"/>
      <w:marRight w:val="0"/>
      <w:marTop w:val="0"/>
      <w:marBottom w:val="0"/>
      <w:divBdr>
        <w:top w:val="none" w:sz="0" w:space="0" w:color="auto"/>
        <w:left w:val="none" w:sz="0" w:space="0" w:color="auto"/>
        <w:bottom w:val="none" w:sz="0" w:space="0" w:color="auto"/>
        <w:right w:val="none" w:sz="0" w:space="0" w:color="auto"/>
      </w:divBdr>
    </w:div>
    <w:div w:id="672923994">
      <w:bodyDiv w:val="1"/>
      <w:marLeft w:val="0"/>
      <w:marRight w:val="0"/>
      <w:marTop w:val="0"/>
      <w:marBottom w:val="0"/>
      <w:divBdr>
        <w:top w:val="none" w:sz="0" w:space="0" w:color="auto"/>
        <w:left w:val="none" w:sz="0" w:space="0" w:color="auto"/>
        <w:bottom w:val="none" w:sz="0" w:space="0" w:color="auto"/>
        <w:right w:val="none" w:sz="0" w:space="0" w:color="auto"/>
      </w:divBdr>
    </w:div>
    <w:div w:id="675419023">
      <w:bodyDiv w:val="1"/>
      <w:marLeft w:val="0"/>
      <w:marRight w:val="0"/>
      <w:marTop w:val="0"/>
      <w:marBottom w:val="0"/>
      <w:divBdr>
        <w:top w:val="none" w:sz="0" w:space="0" w:color="auto"/>
        <w:left w:val="none" w:sz="0" w:space="0" w:color="auto"/>
        <w:bottom w:val="none" w:sz="0" w:space="0" w:color="auto"/>
        <w:right w:val="none" w:sz="0" w:space="0" w:color="auto"/>
      </w:divBdr>
    </w:div>
    <w:div w:id="679547680">
      <w:bodyDiv w:val="1"/>
      <w:marLeft w:val="0"/>
      <w:marRight w:val="0"/>
      <w:marTop w:val="0"/>
      <w:marBottom w:val="0"/>
      <w:divBdr>
        <w:top w:val="none" w:sz="0" w:space="0" w:color="auto"/>
        <w:left w:val="none" w:sz="0" w:space="0" w:color="auto"/>
        <w:bottom w:val="none" w:sz="0" w:space="0" w:color="auto"/>
        <w:right w:val="none" w:sz="0" w:space="0" w:color="auto"/>
      </w:divBdr>
    </w:div>
    <w:div w:id="680277825">
      <w:bodyDiv w:val="1"/>
      <w:marLeft w:val="0"/>
      <w:marRight w:val="0"/>
      <w:marTop w:val="0"/>
      <w:marBottom w:val="0"/>
      <w:divBdr>
        <w:top w:val="none" w:sz="0" w:space="0" w:color="auto"/>
        <w:left w:val="none" w:sz="0" w:space="0" w:color="auto"/>
        <w:bottom w:val="none" w:sz="0" w:space="0" w:color="auto"/>
        <w:right w:val="none" w:sz="0" w:space="0" w:color="auto"/>
      </w:divBdr>
    </w:div>
    <w:div w:id="681207495">
      <w:bodyDiv w:val="1"/>
      <w:marLeft w:val="0"/>
      <w:marRight w:val="0"/>
      <w:marTop w:val="0"/>
      <w:marBottom w:val="0"/>
      <w:divBdr>
        <w:top w:val="none" w:sz="0" w:space="0" w:color="auto"/>
        <w:left w:val="none" w:sz="0" w:space="0" w:color="auto"/>
        <w:bottom w:val="none" w:sz="0" w:space="0" w:color="auto"/>
        <w:right w:val="none" w:sz="0" w:space="0" w:color="auto"/>
      </w:divBdr>
    </w:div>
    <w:div w:id="682047645">
      <w:bodyDiv w:val="1"/>
      <w:marLeft w:val="0"/>
      <w:marRight w:val="0"/>
      <w:marTop w:val="0"/>
      <w:marBottom w:val="0"/>
      <w:divBdr>
        <w:top w:val="none" w:sz="0" w:space="0" w:color="auto"/>
        <w:left w:val="none" w:sz="0" w:space="0" w:color="auto"/>
        <w:bottom w:val="none" w:sz="0" w:space="0" w:color="auto"/>
        <w:right w:val="none" w:sz="0" w:space="0" w:color="auto"/>
      </w:divBdr>
    </w:div>
    <w:div w:id="682173162">
      <w:bodyDiv w:val="1"/>
      <w:marLeft w:val="0"/>
      <w:marRight w:val="0"/>
      <w:marTop w:val="0"/>
      <w:marBottom w:val="0"/>
      <w:divBdr>
        <w:top w:val="none" w:sz="0" w:space="0" w:color="auto"/>
        <w:left w:val="none" w:sz="0" w:space="0" w:color="auto"/>
        <w:bottom w:val="none" w:sz="0" w:space="0" w:color="auto"/>
        <w:right w:val="none" w:sz="0" w:space="0" w:color="auto"/>
      </w:divBdr>
    </w:div>
    <w:div w:id="684402534">
      <w:bodyDiv w:val="1"/>
      <w:marLeft w:val="0"/>
      <w:marRight w:val="0"/>
      <w:marTop w:val="0"/>
      <w:marBottom w:val="0"/>
      <w:divBdr>
        <w:top w:val="none" w:sz="0" w:space="0" w:color="auto"/>
        <w:left w:val="none" w:sz="0" w:space="0" w:color="auto"/>
        <w:bottom w:val="none" w:sz="0" w:space="0" w:color="auto"/>
        <w:right w:val="none" w:sz="0" w:space="0" w:color="auto"/>
      </w:divBdr>
    </w:div>
    <w:div w:id="684598303">
      <w:bodyDiv w:val="1"/>
      <w:marLeft w:val="0"/>
      <w:marRight w:val="0"/>
      <w:marTop w:val="0"/>
      <w:marBottom w:val="0"/>
      <w:divBdr>
        <w:top w:val="none" w:sz="0" w:space="0" w:color="auto"/>
        <w:left w:val="none" w:sz="0" w:space="0" w:color="auto"/>
        <w:bottom w:val="none" w:sz="0" w:space="0" w:color="auto"/>
        <w:right w:val="none" w:sz="0" w:space="0" w:color="auto"/>
      </w:divBdr>
    </w:div>
    <w:div w:id="684671456">
      <w:bodyDiv w:val="1"/>
      <w:marLeft w:val="0"/>
      <w:marRight w:val="0"/>
      <w:marTop w:val="0"/>
      <w:marBottom w:val="0"/>
      <w:divBdr>
        <w:top w:val="none" w:sz="0" w:space="0" w:color="auto"/>
        <w:left w:val="none" w:sz="0" w:space="0" w:color="auto"/>
        <w:bottom w:val="none" w:sz="0" w:space="0" w:color="auto"/>
        <w:right w:val="none" w:sz="0" w:space="0" w:color="auto"/>
      </w:divBdr>
    </w:div>
    <w:div w:id="684864346">
      <w:bodyDiv w:val="1"/>
      <w:marLeft w:val="0"/>
      <w:marRight w:val="0"/>
      <w:marTop w:val="0"/>
      <w:marBottom w:val="0"/>
      <w:divBdr>
        <w:top w:val="none" w:sz="0" w:space="0" w:color="auto"/>
        <w:left w:val="none" w:sz="0" w:space="0" w:color="auto"/>
        <w:bottom w:val="none" w:sz="0" w:space="0" w:color="auto"/>
        <w:right w:val="none" w:sz="0" w:space="0" w:color="auto"/>
      </w:divBdr>
    </w:div>
    <w:div w:id="690297381">
      <w:bodyDiv w:val="1"/>
      <w:marLeft w:val="0"/>
      <w:marRight w:val="0"/>
      <w:marTop w:val="0"/>
      <w:marBottom w:val="0"/>
      <w:divBdr>
        <w:top w:val="none" w:sz="0" w:space="0" w:color="auto"/>
        <w:left w:val="none" w:sz="0" w:space="0" w:color="auto"/>
        <w:bottom w:val="none" w:sz="0" w:space="0" w:color="auto"/>
        <w:right w:val="none" w:sz="0" w:space="0" w:color="auto"/>
      </w:divBdr>
    </w:div>
    <w:div w:id="693772460">
      <w:bodyDiv w:val="1"/>
      <w:marLeft w:val="0"/>
      <w:marRight w:val="0"/>
      <w:marTop w:val="0"/>
      <w:marBottom w:val="0"/>
      <w:divBdr>
        <w:top w:val="none" w:sz="0" w:space="0" w:color="auto"/>
        <w:left w:val="none" w:sz="0" w:space="0" w:color="auto"/>
        <w:bottom w:val="none" w:sz="0" w:space="0" w:color="auto"/>
        <w:right w:val="none" w:sz="0" w:space="0" w:color="auto"/>
      </w:divBdr>
    </w:div>
    <w:div w:id="695039151">
      <w:bodyDiv w:val="1"/>
      <w:marLeft w:val="0"/>
      <w:marRight w:val="0"/>
      <w:marTop w:val="0"/>
      <w:marBottom w:val="0"/>
      <w:divBdr>
        <w:top w:val="none" w:sz="0" w:space="0" w:color="auto"/>
        <w:left w:val="none" w:sz="0" w:space="0" w:color="auto"/>
        <w:bottom w:val="none" w:sz="0" w:space="0" w:color="auto"/>
        <w:right w:val="none" w:sz="0" w:space="0" w:color="auto"/>
      </w:divBdr>
    </w:div>
    <w:div w:id="695081167">
      <w:bodyDiv w:val="1"/>
      <w:marLeft w:val="0"/>
      <w:marRight w:val="0"/>
      <w:marTop w:val="0"/>
      <w:marBottom w:val="0"/>
      <w:divBdr>
        <w:top w:val="none" w:sz="0" w:space="0" w:color="auto"/>
        <w:left w:val="none" w:sz="0" w:space="0" w:color="auto"/>
        <w:bottom w:val="none" w:sz="0" w:space="0" w:color="auto"/>
        <w:right w:val="none" w:sz="0" w:space="0" w:color="auto"/>
      </w:divBdr>
    </w:div>
    <w:div w:id="695615349">
      <w:bodyDiv w:val="1"/>
      <w:marLeft w:val="0"/>
      <w:marRight w:val="0"/>
      <w:marTop w:val="0"/>
      <w:marBottom w:val="0"/>
      <w:divBdr>
        <w:top w:val="none" w:sz="0" w:space="0" w:color="auto"/>
        <w:left w:val="none" w:sz="0" w:space="0" w:color="auto"/>
        <w:bottom w:val="none" w:sz="0" w:space="0" w:color="auto"/>
        <w:right w:val="none" w:sz="0" w:space="0" w:color="auto"/>
      </w:divBdr>
    </w:div>
    <w:div w:id="700472805">
      <w:bodyDiv w:val="1"/>
      <w:marLeft w:val="0"/>
      <w:marRight w:val="0"/>
      <w:marTop w:val="0"/>
      <w:marBottom w:val="0"/>
      <w:divBdr>
        <w:top w:val="none" w:sz="0" w:space="0" w:color="auto"/>
        <w:left w:val="none" w:sz="0" w:space="0" w:color="auto"/>
        <w:bottom w:val="none" w:sz="0" w:space="0" w:color="auto"/>
        <w:right w:val="none" w:sz="0" w:space="0" w:color="auto"/>
      </w:divBdr>
    </w:div>
    <w:div w:id="701713550">
      <w:bodyDiv w:val="1"/>
      <w:marLeft w:val="0"/>
      <w:marRight w:val="0"/>
      <w:marTop w:val="0"/>
      <w:marBottom w:val="0"/>
      <w:divBdr>
        <w:top w:val="none" w:sz="0" w:space="0" w:color="auto"/>
        <w:left w:val="none" w:sz="0" w:space="0" w:color="auto"/>
        <w:bottom w:val="none" w:sz="0" w:space="0" w:color="auto"/>
        <w:right w:val="none" w:sz="0" w:space="0" w:color="auto"/>
      </w:divBdr>
    </w:div>
    <w:div w:id="704840292">
      <w:bodyDiv w:val="1"/>
      <w:marLeft w:val="0"/>
      <w:marRight w:val="0"/>
      <w:marTop w:val="0"/>
      <w:marBottom w:val="0"/>
      <w:divBdr>
        <w:top w:val="none" w:sz="0" w:space="0" w:color="auto"/>
        <w:left w:val="none" w:sz="0" w:space="0" w:color="auto"/>
        <w:bottom w:val="none" w:sz="0" w:space="0" w:color="auto"/>
        <w:right w:val="none" w:sz="0" w:space="0" w:color="auto"/>
      </w:divBdr>
    </w:div>
    <w:div w:id="708914082">
      <w:bodyDiv w:val="1"/>
      <w:marLeft w:val="0"/>
      <w:marRight w:val="0"/>
      <w:marTop w:val="0"/>
      <w:marBottom w:val="0"/>
      <w:divBdr>
        <w:top w:val="none" w:sz="0" w:space="0" w:color="auto"/>
        <w:left w:val="none" w:sz="0" w:space="0" w:color="auto"/>
        <w:bottom w:val="none" w:sz="0" w:space="0" w:color="auto"/>
        <w:right w:val="none" w:sz="0" w:space="0" w:color="auto"/>
      </w:divBdr>
    </w:div>
    <w:div w:id="709646880">
      <w:bodyDiv w:val="1"/>
      <w:marLeft w:val="0"/>
      <w:marRight w:val="0"/>
      <w:marTop w:val="0"/>
      <w:marBottom w:val="0"/>
      <w:divBdr>
        <w:top w:val="none" w:sz="0" w:space="0" w:color="auto"/>
        <w:left w:val="none" w:sz="0" w:space="0" w:color="auto"/>
        <w:bottom w:val="none" w:sz="0" w:space="0" w:color="auto"/>
        <w:right w:val="none" w:sz="0" w:space="0" w:color="auto"/>
      </w:divBdr>
    </w:div>
    <w:div w:id="710347185">
      <w:bodyDiv w:val="1"/>
      <w:marLeft w:val="0"/>
      <w:marRight w:val="0"/>
      <w:marTop w:val="0"/>
      <w:marBottom w:val="0"/>
      <w:divBdr>
        <w:top w:val="none" w:sz="0" w:space="0" w:color="auto"/>
        <w:left w:val="none" w:sz="0" w:space="0" w:color="auto"/>
        <w:bottom w:val="none" w:sz="0" w:space="0" w:color="auto"/>
        <w:right w:val="none" w:sz="0" w:space="0" w:color="auto"/>
      </w:divBdr>
    </w:div>
    <w:div w:id="711540905">
      <w:bodyDiv w:val="1"/>
      <w:marLeft w:val="0"/>
      <w:marRight w:val="0"/>
      <w:marTop w:val="0"/>
      <w:marBottom w:val="0"/>
      <w:divBdr>
        <w:top w:val="none" w:sz="0" w:space="0" w:color="auto"/>
        <w:left w:val="none" w:sz="0" w:space="0" w:color="auto"/>
        <w:bottom w:val="none" w:sz="0" w:space="0" w:color="auto"/>
        <w:right w:val="none" w:sz="0" w:space="0" w:color="auto"/>
      </w:divBdr>
    </w:div>
    <w:div w:id="712268891">
      <w:bodyDiv w:val="1"/>
      <w:marLeft w:val="0"/>
      <w:marRight w:val="0"/>
      <w:marTop w:val="0"/>
      <w:marBottom w:val="0"/>
      <w:divBdr>
        <w:top w:val="none" w:sz="0" w:space="0" w:color="auto"/>
        <w:left w:val="none" w:sz="0" w:space="0" w:color="auto"/>
        <w:bottom w:val="none" w:sz="0" w:space="0" w:color="auto"/>
        <w:right w:val="none" w:sz="0" w:space="0" w:color="auto"/>
      </w:divBdr>
    </w:div>
    <w:div w:id="713503505">
      <w:bodyDiv w:val="1"/>
      <w:marLeft w:val="0"/>
      <w:marRight w:val="0"/>
      <w:marTop w:val="0"/>
      <w:marBottom w:val="0"/>
      <w:divBdr>
        <w:top w:val="none" w:sz="0" w:space="0" w:color="auto"/>
        <w:left w:val="none" w:sz="0" w:space="0" w:color="auto"/>
        <w:bottom w:val="none" w:sz="0" w:space="0" w:color="auto"/>
        <w:right w:val="none" w:sz="0" w:space="0" w:color="auto"/>
      </w:divBdr>
    </w:div>
    <w:div w:id="716129660">
      <w:bodyDiv w:val="1"/>
      <w:marLeft w:val="0"/>
      <w:marRight w:val="0"/>
      <w:marTop w:val="0"/>
      <w:marBottom w:val="0"/>
      <w:divBdr>
        <w:top w:val="none" w:sz="0" w:space="0" w:color="auto"/>
        <w:left w:val="none" w:sz="0" w:space="0" w:color="auto"/>
        <w:bottom w:val="none" w:sz="0" w:space="0" w:color="auto"/>
        <w:right w:val="none" w:sz="0" w:space="0" w:color="auto"/>
      </w:divBdr>
    </w:div>
    <w:div w:id="724911197">
      <w:bodyDiv w:val="1"/>
      <w:marLeft w:val="0"/>
      <w:marRight w:val="0"/>
      <w:marTop w:val="0"/>
      <w:marBottom w:val="0"/>
      <w:divBdr>
        <w:top w:val="none" w:sz="0" w:space="0" w:color="auto"/>
        <w:left w:val="none" w:sz="0" w:space="0" w:color="auto"/>
        <w:bottom w:val="none" w:sz="0" w:space="0" w:color="auto"/>
        <w:right w:val="none" w:sz="0" w:space="0" w:color="auto"/>
      </w:divBdr>
    </w:div>
    <w:div w:id="728698068">
      <w:bodyDiv w:val="1"/>
      <w:marLeft w:val="0"/>
      <w:marRight w:val="0"/>
      <w:marTop w:val="0"/>
      <w:marBottom w:val="0"/>
      <w:divBdr>
        <w:top w:val="none" w:sz="0" w:space="0" w:color="auto"/>
        <w:left w:val="none" w:sz="0" w:space="0" w:color="auto"/>
        <w:bottom w:val="none" w:sz="0" w:space="0" w:color="auto"/>
        <w:right w:val="none" w:sz="0" w:space="0" w:color="auto"/>
      </w:divBdr>
    </w:div>
    <w:div w:id="729306133">
      <w:bodyDiv w:val="1"/>
      <w:marLeft w:val="0"/>
      <w:marRight w:val="0"/>
      <w:marTop w:val="0"/>
      <w:marBottom w:val="0"/>
      <w:divBdr>
        <w:top w:val="none" w:sz="0" w:space="0" w:color="auto"/>
        <w:left w:val="none" w:sz="0" w:space="0" w:color="auto"/>
        <w:bottom w:val="none" w:sz="0" w:space="0" w:color="auto"/>
        <w:right w:val="none" w:sz="0" w:space="0" w:color="auto"/>
      </w:divBdr>
    </w:div>
    <w:div w:id="729964519">
      <w:bodyDiv w:val="1"/>
      <w:marLeft w:val="0"/>
      <w:marRight w:val="0"/>
      <w:marTop w:val="0"/>
      <w:marBottom w:val="0"/>
      <w:divBdr>
        <w:top w:val="none" w:sz="0" w:space="0" w:color="auto"/>
        <w:left w:val="none" w:sz="0" w:space="0" w:color="auto"/>
        <w:bottom w:val="none" w:sz="0" w:space="0" w:color="auto"/>
        <w:right w:val="none" w:sz="0" w:space="0" w:color="auto"/>
      </w:divBdr>
    </w:div>
    <w:div w:id="734594678">
      <w:bodyDiv w:val="1"/>
      <w:marLeft w:val="0"/>
      <w:marRight w:val="0"/>
      <w:marTop w:val="0"/>
      <w:marBottom w:val="0"/>
      <w:divBdr>
        <w:top w:val="none" w:sz="0" w:space="0" w:color="auto"/>
        <w:left w:val="none" w:sz="0" w:space="0" w:color="auto"/>
        <w:bottom w:val="none" w:sz="0" w:space="0" w:color="auto"/>
        <w:right w:val="none" w:sz="0" w:space="0" w:color="auto"/>
      </w:divBdr>
    </w:div>
    <w:div w:id="734739278">
      <w:bodyDiv w:val="1"/>
      <w:marLeft w:val="0"/>
      <w:marRight w:val="0"/>
      <w:marTop w:val="0"/>
      <w:marBottom w:val="0"/>
      <w:divBdr>
        <w:top w:val="none" w:sz="0" w:space="0" w:color="auto"/>
        <w:left w:val="none" w:sz="0" w:space="0" w:color="auto"/>
        <w:bottom w:val="none" w:sz="0" w:space="0" w:color="auto"/>
        <w:right w:val="none" w:sz="0" w:space="0" w:color="auto"/>
      </w:divBdr>
    </w:div>
    <w:div w:id="734742048">
      <w:bodyDiv w:val="1"/>
      <w:marLeft w:val="0"/>
      <w:marRight w:val="0"/>
      <w:marTop w:val="0"/>
      <w:marBottom w:val="0"/>
      <w:divBdr>
        <w:top w:val="none" w:sz="0" w:space="0" w:color="auto"/>
        <w:left w:val="none" w:sz="0" w:space="0" w:color="auto"/>
        <w:bottom w:val="none" w:sz="0" w:space="0" w:color="auto"/>
        <w:right w:val="none" w:sz="0" w:space="0" w:color="auto"/>
      </w:divBdr>
    </w:div>
    <w:div w:id="735131099">
      <w:bodyDiv w:val="1"/>
      <w:marLeft w:val="0"/>
      <w:marRight w:val="0"/>
      <w:marTop w:val="0"/>
      <w:marBottom w:val="0"/>
      <w:divBdr>
        <w:top w:val="none" w:sz="0" w:space="0" w:color="auto"/>
        <w:left w:val="none" w:sz="0" w:space="0" w:color="auto"/>
        <w:bottom w:val="none" w:sz="0" w:space="0" w:color="auto"/>
        <w:right w:val="none" w:sz="0" w:space="0" w:color="auto"/>
      </w:divBdr>
    </w:div>
    <w:div w:id="735779396">
      <w:bodyDiv w:val="1"/>
      <w:marLeft w:val="0"/>
      <w:marRight w:val="0"/>
      <w:marTop w:val="0"/>
      <w:marBottom w:val="0"/>
      <w:divBdr>
        <w:top w:val="none" w:sz="0" w:space="0" w:color="auto"/>
        <w:left w:val="none" w:sz="0" w:space="0" w:color="auto"/>
        <w:bottom w:val="none" w:sz="0" w:space="0" w:color="auto"/>
        <w:right w:val="none" w:sz="0" w:space="0" w:color="auto"/>
      </w:divBdr>
    </w:div>
    <w:div w:id="736516907">
      <w:bodyDiv w:val="1"/>
      <w:marLeft w:val="0"/>
      <w:marRight w:val="0"/>
      <w:marTop w:val="0"/>
      <w:marBottom w:val="0"/>
      <w:divBdr>
        <w:top w:val="none" w:sz="0" w:space="0" w:color="auto"/>
        <w:left w:val="none" w:sz="0" w:space="0" w:color="auto"/>
        <w:bottom w:val="none" w:sz="0" w:space="0" w:color="auto"/>
        <w:right w:val="none" w:sz="0" w:space="0" w:color="auto"/>
      </w:divBdr>
    </w:div>
    <w:div w:id="740562096">
      <w:bodyDiv w:val="1"/>
      <w:marLeft w:val="0"/>
      <w:marRight w:val="0"/>
      <w:marTop w:val="0"/>
      <w:marBottom w:val="0"/>
      <w:divBdr>
        <w:top w:val="none" w:sz="0" w:space="0" w:color="auto"/>
        <w:left w:val="none" w:sz="0" w:space="0" w:color="auto"/>
        <w:bottom w:val="none" w:sz="0" w:space="0" w:color="auto"/>
        <w:right w:val="none" w:sz="0" w:space="0" w:color="auto"/>
      </w:divBdr>
    </w:div>
    <w:div w:id="740641124">
      <w:bodyDiv w:val="1"/>
      <w:marLeft w:val="0"/>
      <w:marRight w:val="0"/>
      <w:marTop w:val="0"/>
      <w:marBottom w:val="0"/>
      <w:divBdr>
        <w:top w:val="none" w:sz="0" w:space="0" w:color="auto"/>
        <w:left w:val="none" w:sz="0" w:space="0" w:color="auto"/>
        <w:bottom w:val="none" w:sz="0" w:space="0" w:color="auto"/>
        <w:right w:val="none" w:sz="0" w:space="0" w:color="auto"/>
      </w:divBdr>
    </w:div>
    <w:div w:id="740835748">
      <w:bodyDiv w:val="1"/>
      <w:marLeft w:val="0"/>
      <w:marRight w:val="0"/>
      <w:marTop w:val="0"/>
      <w:marBottom w:val="0"/>
      <w:divBdr>
        <w:top w:val="none" w:sz="0" w:space="0" w:color="auto"/>
        <w:left w:val="none" w:sz="0" w:space="0" w:color="auto"/>
        <w:bottom w:val="none" w:sz="0" w:space="0" w:color="auto"/>
        <w:right w:val="none" w:sz="0" w:space="0" w:color="auto"/>
      </w:divBdr>
    </w:div>
    <w:div w:id="741607796">
      <w:bodyDiv w:val="1"/>
      <w:marLeft w:val="0"/>
      <w:marRight w:val="0"/>
      <w:marTop w:val="0"/>
      <w:marBottom w:val="0"/>
      <w:divBdr>
        <w:top w:val="none" w:sz="0" w:space="0" w:color="auto"/>
        <w:left w:val="none" w:sz="0" w:space="0" w:color="auto"/>
        <w:bottom w:val="none" w:sz="0" w:space="0" w:color="auto"/>
        <w:right w:val="none" w:sz="0" w:space="0" w:color="auto"/>
      </w:divBdr>
    </w:div>
    <w:div w:id="742921336">
      <w:bodyDiv w:val="1"/>
      <w:marLeft w:val="0"/>
      <w:marRight w:val="0"/>
      <w:marTop w:val="0"/>
      <w:marBottom w:val="0"/>
      <w:divBdr>
        <w:top w:val="none" w:sz="0" w:space="0" w:color="auto"/>
        <w:left w:val="none" w:sz="0" w:space="0" w:color="auto"/>
        <w:bottom w:val="none" w:sz="0" w:space="0" w:color="auto"/>
        <w:right w:val="none" w:sz="0" w:space="0" w:color="auto"/>
      </w:divBdr>
    </w:div>
    <w:div w:id="746616402">
      <w:bodyDiv w:val="1"/>
      <w:marLeft w:val="0"/>
      <w:marRight w:val="0"/>
      <w:marTop w:val="0"/>
      <w:marBottom w:val="0"/>
      <w:divBdr>
        <w:top w:val="none" w:sz="0" w:space="0" w:color="auto"/>
        <w:left w:val="none" w:sz="0" w:space="0" w:color="auto"/>
        <w:bottom w:val="none" w:sz="0" w:space="0" w:color="auto"/>
        <w:right w:val="none" w:sz="0" w:space="0" w:color="auto"/>
      </w:divBdr>
    </w:div>
    <w:div w:id="747307469">
      <w:bodyDiv w:val="1"/>
      <w:marLeft w:val="0"/>
      <w:marRight w:val="0"/>
      <w:marTop w:val="0"/>
      <w:marBottom w:val="0"/>
      <w:divBdr>
        <w:top w:val="none" w:sz="0" w:space="0" w:color="auto"/>
        <w:left w:val="none" w:sz="0" w:space="0" w:color="auto"/>
        <w:bottom w:val="none" w:sz="0" w:space="0" w:color="auto"/>
        <w:right w:val="none" w:sz="0" w:space="0" w:color="auto"/>
      </w:divBdr>
    </w:div>
    <w:div w:id="748845445">
      <w:bodyDiv w:val="1"/>
      <w:marLeft w:val="0"/>
      <w:marRight w:val="0"/>
      <w:marTop w:val="0"/>
      <w:marBottom w:val="0"/>
      <w:divBdr>
        <w:top w:val="none" w:sz="0" w:space="0" w:color="auto"/>
        <w:left w:val="none" w:sz="0" w:space="0" w:color="auto"/>
        <w:bottom w:val="none" w:sz="0" w:space="0" w:color="auto"/>
        <w:right w:val="none" w:sz="0" w:space="0" w:color="auto"/>
      </w:divBdr>
    </w:div>
    <w:div w:id="750349416">
      <w:bodyDiv w:val="1"/>
      <w:marLeft w:val="0"/>
      <w:marRight w:val="0"/>
      <w:marTop w:val="0"/>
      <w:marBottom w:val="0"/>
      <w:divBdr>
        <w:top w:val="none" w:sz="0" w:space="0" w:color="auto"/>
        <w:left w:val="none" w:sz="0" w:space="0" w:color="auto"/>
        <w:bottom w:val="none" w:sz="0" w:space="0" w:color="auto"/>
        <w:right w:val="none" w:sz="0" w:space="0" w:color="auto"/>
      </w:divBdr>
    </w:div>
    <w:div w:id="750542286">
      <w:bodyDiv w:val="1"/>
      <w:marLeft w:val="0"/>
      <w:marRight w:val="0"/>
      <w:marTop w:val="0"/>
      <w:marBottom w:val="0"/>
      <w:divBdr>
        <w:top w:val="none" w:sz="0" w:space="0" w:color="auto"/>
        <w:left w:val="none" w:sz="0" w:space="0" w:color="auto"/>
        <w:bottom w:val="none" w:sz="0" w:space="0" w:color="auto"/>
        <w:right w:val="none" w:sz="0" w:space="0" w:color="auto"/>
      </w:divBdr>
    </w:div>
    <w:div w:id="751201870">
      <w:bodyDiv w:val="1"/>
      <w:marLeft w:val="0"/>
      <w:marRight w:val="0"/>
      <w:marTop w:val="0"/>
      <w:marBottom w:val="0"/>
      <w:divBdr>
        <w:top w:val="none" w:sz="0" w:space="0" w:color="auto"/>
        <w:left w:val="none" w:sz="0" w:space="0" w:color="auto"/>
        <w:bottom w:val="none" w:sz="0" w:space="0" w:color="auto"/>
        <w:right w:val="none" w:sz="0" w:space="0" w:color="auto"/>
      </w:divBdr>
    </w:div>
    <w:div w:id="751665056">
      <w:bodyDiv w:val="1"/>
      <w:marLeft w:val="0"/>
      <w:marRight w:val="0"/>
      <w:marTop w:val="0"/>
      <w:marBottom w:val="0"/>
      <w:divBdr>
        <w:top w:val="none" w:sz="0" w:space="0" w:color="auto"/>
        <w:left w:val="none" w:sz="0" w:space="0" w:color="auto"/>
        <w:bottom w:val="none" w:sz="0" w:space="0" w:color="auto"/>
        <w:right w:val="none" w:sz="0" w:space="0" w:color="auto"/>
      </w:divBdr>
    </w:div>
    <w:div w:id="751852248">
      <w:bodyDiv w:val="1"/>
      <w:marLeft w:val="0"/>
      <w:marRight w:val="0"/>
      <w:marTop w:val="0"/>
      <w:marBottom w:val="0"/>
      <w:divBdr>
        <w:top w:val="none" w:sz="0" w:space="0" w:color="auto"/>
        <w:left w:val="none" w:sz="0" w:space="0" w:color="auto"/>
        <w:bottom w:val="none" w:sz="0" w:space="0" w:color="auto"/>
        <w:right w:val="none" w:sz="0" w:space="0" w:color="auto"/>
      </w:divBdr>
    </w:div>
    <w:div w:id="751894732">
      <w:bodyDiv w:val="1"/>
      <w:marLeft w:val="0"/>
      <w:marRight w:val="0"/>
      <w:marTop w:val="0"/>
      <w:marBottom w:val="0"/>
      <w:divBdr>
        <w:top w:val="none" w:sz="0" w:space="0" w:color="auto"/>
        <w:left w:val="none" w:sz="0" w:space="0" w:color="auto"/>
        <w:bottom w:val="none" w:sz="0" w:space="0" w:color="auto"/>
        <w:right w:val="none" w:sz="0" w:space="0" w:color="auto"/>
      </w:divBdr>
    </w:div>
    <w:div w:id="752632473">
      <w:bodyDiv w:val="1"/>
      <w:marLeft w:val="0"/>
      <w:marRight w:val="0"/>
      <w:marTop w:val="0"/>
      <w:marBottom w:val="0"/>
      <w:divBdr>
        <w:top w:val="none" w:sz="0" w:space="0" w:color="auto"/>
        <w:left w:val="none" w:sz="0" w:space="0" w:color="auto"/>
        <w:bottom w:val="none" w:sz="0" w:space="0" w:color="auto"/>
        <w:right w:val="none" w:sz="0" w:space="0" w:color="auto"/>
      </w:divBdr>
    </w:div>
    <w:div w:id="752970510">
      <w:bodyDiv w:val="1"/>
      <w:marLeft w:val="0"/>
      <w:marRight w:val="0"/>
      <w:marTop w:val="0"/>
      <w:marBottom w:val="0"/>
      <w:divBdr>
        <w:top w:val="none" w:sz="0" w:space="0" w:color="auto"/>
        <w:left w:val="none" w:sz="0" w:space="0" w:color="auto"/>
        <w:bottom w:val="none" w:sz="0" w:space="0" w:color="auto"/>
        <w:right w:val="none" w:sz="0" w:space="0" w:color="auto"/>
      </w:divBdr>
    </w:div>
    <w:div w:id="756513988">
      <w:bodyDiv w:val="1"/>
      <w:marLeft w:val="0"/>
      <w:marRight w:val="0"/>
      <w:marTop w:val="0"/>
      <w:marBottom w:val="0"/>
      <w:divBdr>
        <w:top w:val="none" w:sz="0" w:space="0" w:color="auto"/>
        <w:left w:val="none" w:sz="0" w:space="0" w:color="auto"/>
        <w:bottom w:val="none" w:sz="0" w:space="0" w:color="auto"/>
        <w:right w:val="none" w:sz="0" w:space="0" w:color="auto"/>
      </w:divBdr>
    </w:div>
    <w:div w:id="761341897">
      <w:bodyDiv w:val="1"/>
      <w:marLeft w:val="0"/>
      <w:marRight w:val="0"/>
      <w:marTop w:val="0"/>
      <w:marBottom w:val="0"/>
      <w:divBdr>
        <w:top w:val="none" w:sz="0" w:space="0" w:color="auto"/>
        <w:left w:val="none" w:sz="0" w:space="0" w:color="auto"/>
        <w:bottom w:val="none" w:sz="0" w:space="0" w:color="auto"/>
        <w:right w:val="none" w:sz="0" w:space="0" w:color="auto"/>
      </w:divBdr>
    </w:div>
    <w:div w:id="761803072">
      <w:bodyDiv w:val="1"/>
      <w:marLeft w:val="0"/>
      <w:marRight w:val="0"/>
      <w:marTop w:val="0"/>
      <w:marBottom w:val="0"/>
      <w:divBdr>
        <w:top w:val="none" w:sz="0" w:space="0" w:color="auto"/>
        <w:left w:val="none" w:sz="0" w:space="0" w:color="auto"/>
        <w:bottom w:val="none" w:sz="0" w:space="0" w:color="auto"/>
        <w:right w:val="none" w:sz="0" w:space="0" w:color="auto"/>
      </w:divBdr>
    </w:div>
    <w:div w:id="763846457">
      <w:bodyDiv w:val="1"/>
      <w:marLeft w:val="0"/>
      <w:marRight w:val="0"/>
      <w:marTop w:val="0"/>
      <w:marBottom w:val="0"/>
      <w:divBdr>
        <w:top w:val="none" w:sz="0" w:space="0" w:color="auto"/>
        <w:left w:val="none" w:sz="0" w:space="0" w:color="auto"/>
        <w:bottom w:val="none" w:sz="0" w:space="0" w:color="auto"/>
        <w:right w:val="none" w:sz="0" w:space="0" w:color="auto"/>
      </w:divBdr>
    </w:div>
    <w:div w:id="765073537">
      <w:bodyDiv w:val="1"/>
      <w:marLeft w:val="0"/>
      <w:marRight w:val="0"/>
      <w:marTop w:val="0"/>
      <w:marBottom w:val="0"/>
      <w:divBdr>
        <w:top w:val="none" w:sz="0" w:space="0" w:color="auto"/>
        <w:left w:val="none" w:sz="0" w:space="0" w:color="auto"/>
        <w:bottom w:val="none" w:sz="0" w:space="0" w:color="auto"/>
        <w:right w:val="none" w:sz="0" w:space="0" w:color="auto"/>
      </w:divBdr>
    </w:div>
    <w:div w:id="765611217">
      <w:bodyDiv w:val="1"/>
      <w:marLeft w:val="0"/>
      <w:marRight w:val="0"/>
      <w:marTop w:val="0"/>
      <w:marBottom w:val="0"/>
      <w:divBdr>
        <w:top w:val="none" w:sz="0" w:space="0" w:color="auto"/>
        <w:left w:val="none" w:sz="0" w:space="0" w:color="auto"/>
        <w:bottom w:val="none" w:sz="0" w:space="0" w:color="auto"/>
        <w:right w:val="none" w:sz="0" w:space="0" w:color="auto"/>
      </w:divBdr>
    </w:div>
    <w:div w:id="765614532">
      <w:bodyDiv w:val="1"/>
      <w:marLeft w:val="0"/>
      <w:marRight w:val="0"/>
      <w:marTop w:val="0"/>
      <w:marBottom w:val="0"/>
      <w:divBdr>
        <w:top w:val="none" w:sz="0" w:space="0" w:color="auto"/>
        <w:left w:val="none" w:sz="0" w:space="0" w:color="auto"/>
        <w:bottom w:val="none" w:sz="0" w:space="0" w:color="auto"/>
        <w:right w:val="none" w:sz="0" w:space="0" w:color="auto"/>
      </w:divBdr>
    </w:div>
    <w:div w:id="767044840">
      <w:bodyDiv w:val="1"/>
      <w:marLeft w:val="0"/>
      <w:marRight w:val="0"/>
      <w:marTop w:val="0"/>
      <w:marBottom w:val="0"/>
      <w:divBdr>
        <w:top w:val="none" w:sz="0" w:space="0" w:color="auto"/>
        <w:left w:val="none" w:sz="0" w:space="0" w:color="auto"/>
        <w:bottom w:val="none" w:sz="0" w:space="0" w:color="auto"/>
        <w:right w:val="none" w:sz="0" w:space="0" w:color="auto"/>
      </w:divBdr>
    </w:div>
    <w:div w:id="772357883">
      <w:bodyDiv w:val="1"/>
      <w:marLeft w:val="0"/>
      <w:marRight w:val="0"/>
      <w:marTop w:val="0"/>
      <w:marBottom w:val="0"/>
      <w:divBdr>
        <w:top w:val="none" w:sz="0" w:space="0" w:color="auto"/>
        <w:left w:val="none" w:sz="0" w:space="0" w:color="auto"/>
        <w:bottom w:val="none" w:sz="0" w:space="0" w:color="auto"/>
        <w:right w:val="none" w:sz="0" w:space="0" w:color="auto"/>
      </w:divBdr>
    </w:div>
    <w:div w:id="775372874">
      <w:bodyDiv w:val="1"/>
      <w:marLeft w:val="0"/>
      <w:marRight w:val="0"/>
      <w:marTop w:val="0"/>
      <w:marBottom w:val="0"/>
      <w:divBdr>
        <w:top w:val="none" w:sz="0" w:space="0" w:color="auto"/>
        <w:left w:val="none" w:sz="0" w:space="0" w:color="auto"/>
        <w:bottom w:val="none" w:sz="0" w:space="0" w:color="auto"/>
        <w:right w:val="none" w:sz="0" w:space="0" w:color="auto"/>
      </w:divBdr>
    </w:div>
    <w:div w:id="775832049">
      <w:bodyDiv w:val="1"/>
      <w:marLeft w:val="0"/>
      <w:marRight w:val="0"/>
      <w:marTop w:val="0"/>
      <w:marBottom w:val="0"/>
      <w:divBdr>
        <w:top w:val="none" w:sz="0" w:space="0" w:color="auto"/>
        <w:left w:val="none" w:sz="0" w:space="0" w:color="auto"/>
        <w:bottom w:val="none" w:sz="0" w:space="0" w:color="auto"/>
        <w:right w:val="none" w:sz="0" w:space="0" w:color="auto"/>
      </w:divBdr>
    </w:div>
    <w:div w:id="776026362">
      <w:bodyDiv w:val="1"/>
      <w:marLeft w:val="0"/>
      <w:marRight w:val="0"/>
      <w:marTop w:val="0"/>
      <w:marBottom w:val="0"/>
      <w:divBdr>
        <w:top w:val="none" w:sz="0" w:space="0" w:color="auto"/>
        <w:left w:val="none" w:sz="0" w:space="0" w:color="auto"/>
        <w:bottom w:val="none" w:sz="0" w:space="0" w:color="auto"/>
        <w:right w:val="none" w:sz="0" w:space="0" w:color="auto"/>
      </w:divBdr>
    </w:div>
    <w:div w:id="776173908">
      <w:bodyDiv w:val="1"/>
      <w:marLeft w:val="0"/>
      <w:marRight w:val="0"/>
      <w:marTop w:val="0"/>
      <w:marBottom w:val="0"/>
      <w:divBdr>
        <w:top w:val="none" w:sz="0" w:space="0" w:color="auto"/>
        <w:left w:val="none" w:sz="0" w:space="0" w:color="auto"/>
        <w:bottom w:val="none" w:sz="0" w:space="0" w:color="auto"/>
        <w:right w:val="none" w:sz="0" w:space="0" w:color="auto"/>
      </w:divBdr>
    </w:div>
    <w:div w:id="776680207">
      <w:bodyDiv w:val="1"/>
      <w:marLeft w:val="0"/>
      <w:marRight w:val="0"/>
      <w:marTop w:val="0"/>
      <w:marBottom w:val="0"/>
      <w:divBdr>
        <w:top w:val="none" w:sz="0" w:space="0" w:color="auto"/>
        <w:left w:val="none" w:sz="0" w:space="0" w:color="auto"/>
        <w:bottom w:val="none" w:sz="0" w:space="0" w:color="auto"/>
        <w:right w:val="none" w:sz="0" w:space="0" w:color="auto"/>
      </w:divBdr>
    </w:div>
    <w:div w:id="781458979">
      <w:bodyDiv w:val="1"/>
      <w:marLeft w:val="0"/>
      <w:marRight w:val="0"/>
      <w:marTop w:val="0"/>
      <w:marBottom w:val="0"/>
      <w:divBdr>
        <w:top w:val="none" w:sz="0" w:space="0" w:color="auto"/>
        <w:left w:val="none" w:sz="0" w:space="0" w:color="auto"/>
        <w:bottom w:val="none" w:sz="0" w:space="0" w:color="auto"/>
        <w:right w:val="none" w:sz="0" w:space="0" w:color="auto"/>
      </w:divBdr>
    </w:div>
    <w:div w:id="782850165">
      <w:bodyDiv w:val="1"/>
      <w:marLeft w:val="0"/>
      <w:marRight w:val="0"/>
      <w:marTop w:val="0"/>
      <w:marBottom w:val="0"/>
      <w:divBdr>
        <w:top w:val="none" w:sz="0" w:space="0" w:color="auto"/>
        <w:left w:val="none" w:sz="0" w:space="0" w:color="auto"/>
        <w:bottom w:val="none" w:sz="0" w:space="0" w:color="auto"/>
        <w:right w:val="none" w:sz="0" w:space="0" w:color="auto"/>
      </w:divBdr>
    </w:div>
    <w:div w:id="783617515">
      <w:bodyDiv w:val="1"/>
      <w:marLeft w:val="0"/>
      <w:marRight w:val="0"/>
      <w:marTop w:val="0"/>
      <w:marBottom w:val="0"/>
      <w:divBdr>
        <w:top w:val="none" w:sz="0" w:space="0" w:color="auto"/>
        <w:left w:val="none" w:sz="0" w:space="0" w:color="auto"/>
        <w:bottom w:val="none" w:sz="0" w:space="0" w:color="auto"/>
        <w:right w:val="none" w:sz="0" w:space="0" w:color="auto"/>
      </w:divBdr>
    </w:div>
    <w:div w:id="783646616">
      <w:bodyDiv w:val="1"/>
      <w:marLeft w:val="0"/>
      <w:marRight w:val="0"/>
      <w:marTop w:val="0"/>
      <w:marBottom w:val="0"/>
      <w:divBdr>
        <w:top w:val="none" w:sz="0" w:space="0" w:color="auto"/>
        <w:left w:val="none" w:sz="0" w:space="0" w:color="auto"/>
        <w:bottom w:val="none" w:sz="0" w:space="0" w:color="auto"/>
        <w:right w:val="none" w:sz="0" w:space="0" w:color="auto"/>
      </w:divBdr>
    </w:div>
    <w:div w:id="784495554">
      <w:bodyDiv w:val="1"/>
      <w:marLeft w:val="0"/>
      <w:marRight w:val="0"/>
      <w:marTop w:val="0"/>
      <w:marBottom w:val="0"/>
      <w:divBdr>
        <w:top w:val="none" w:sz="0" w:space="0" w:color="auto"/>
        <w:left w:val="none" w:sz="0" w:space="0" w:color="auto"/>
        <w:bottom w:val="none" w:sz="0" w:space="0" w:color="auto"/>
        <w:right w:val="none" w:sz="0" w:space="0" w:color="auto"/>
      </w:divBdr>
    </w:div>
    <w:div w:id="787747407">
      <w:bodyDiv w:val="1"/>
      <w:marLeft w:val="0"/>
      <w:marRight w:val="0"/>
      <w:marTop w:val="0"/>
      <w:marBottom w:val="0"/>
      <w:divBdr>
        <w:top w:val="none" w:sz="0" w:space="0" w:color="auto"/>
        <w:left w:val="none" w:sz="0" w:space="0" w:color="auto"/>
        <w:bottom w:val="none" w:sz="0" w:space="0" w:color="auto"/>
        <w:right w:val="none" w:sz="0" w:space="0" w:color="auto"/>
      </w:divBdr>
    </w:div>
    <w:div w:id="789207092">
      <w:bodyDiv w:val="1"/>
      <w:marLeft w:val="0"/>
      <w:marRight w:val="0"/>
      <w:marTop w:val="0"/>
      <w:marBottom w:val="0"/>
      <w:divBdr>
        <w:top w:val="none" w:sz="0" w:space="0" w:color="auto"/>
        <w:left w:val="none" w:sz="0" w:space="0" w:color="auto"/>
        <w:bottom w:val="none" w:sz="0" w:space="0" w:color="auto"/>
        <w:right w:val="none" w:sz="0" w:space="0" w:color="auto"/>
      </w:divBdr>
    </w:div>
    <w:div w:id="789397773">
      <w:bodyDiv w:val="1"/>
      <w:marLeft w:val="0"/>
      <w:marRight w:val="0"/>
      <w:marTop w:val="0"/>
      <w:marBottom w:val="0"/>
      <w:divBdr>
        <w:top w:val="none" w:sz="0" w:space="0" w:color="auto"/>
        <w:left w:val="none" w:sz="0" w:space="0" w:color="auto"/>
        <w:bottom w:val="none" w:sz="0" w:space="0" w:color="auto"/>
        <w:right w:val="none" w:sz="0" w:space="0" w:color="auto"/>
      </w:divBdr>
    </w:div>
    <w:div w:id="790168582">
      <w:bodyDiv w:val="1"/>
      <w:marLeft w:val="0"/>
      <w:marRight w:val="0"/>
      <w:marTop w:val="0"/>
      <w:marBottom w:val="0"/>
      <w:divBdr>
        <w:top w:val="none" w:sz="0" w:space="0" w:color="auto"/>
        <w:left w:val="none" w:sz="0" w:space="0" w:color="auto"/>
        <w:bottom w:val="none" w:sz="0" w:space="0" w:color="auto"/>
        <w:right w:val="none" w:sz="0" w:space="0" w:color="auto"/>
      </w:divBdr>
    </w:div>
    <w:div w:id="790512502">
      <w:bodyDiv w:val="1"/>
      <w:marLeft w:val="0"/>
      <w:marRight w:val="0"/>
      <w:marTop w:val="0"/>
      <w:marBottom w:val="0"/>
      <w:divBdr>
        <w:top w:val="none" w:sz="0" w:space="0" w:color="auto"/>
        <w:left w:val="none" w:sz="0" w:space="0" w:color="auto"/>
        <w:bottom w:val="none" w:sz="0" w:space="0" w:color="auto"/>
        <w:right w:val="none" w:sz="0" w:space="0" w:color="auto"/>
      </w:divBdr>
    </w:div>
    <w:div w:id="792166028">
      <w:bodyDiv w:val="1"/>
      <w:marLeft w:val="0"/>
      <w:marRight w:val="0"/>
      <w:marTop w:val="0"/>
      <w:marBottom w:val="0"/>
      <w:divBdr>
        <w:top w:val="none" w:sz="0" w:space="0" w:color="auto"/>
        <w:left w:val="none" w:sz="0" w:space="0" w:color="auto"/>
        <w:bottom w:val="none" w:sz="0" w:space="0" w:color="auto"/>
        <w:right w:val="none" w:sz="0" w:space="0" w:color="auto"/>
      </w:divBdr>
    </w:div>
    <w:div w:id="792283295">
      <w:bodyDiv w:val="1"/>
      <w:marLeft w:val="0"/>
      <w:marRight w:val="0"/>
      <w:marTop w:val="0"/>
      <w:marBottom w:val="0"/>
      <w:divBdr>
        <w:top w:val="none" w:sz="0" w:space="0" w:color="auto"/>
        <w:left w:val="none" w:sz="0" w:space="0" w:color="auto"/>
        <w:bottom w:val="none" w:sz="0" w:space="0" w:color="auto"/>
        <w:right w:val="none" w:sz="0" w:space="0" w:color="auto"/>
      </w:divBdr>
    </w:div>
    <w:div w:id="793910506">
      <w:bodyDiv w:val="1"/>
      <w:marLeft w:val="0"/>
      <w:marRight w:val="0"/>
      <w:marTop w:val="0"/>
      <w:marBottom w:val="0"/>
      <w:divBdr>
        <w:top w:val="none" w:sz="0" w:space="0" w:color="auto"/>
        <w:left w:val="none" w:sz="0" w:space="0" w:color="auto"/>
        <w:bottom w:val="none" w:sz="0" w:space="0" w:color="auto"/>
        <w:right w:val="none" w:sz="0" w:space="0" w:color="auto"/>
      </w:divBdr>
    </w:div>
    <w:div w:id="794103955">
      <w:bodyDiv w:val="1"/>
      <w:marLeft w:val="0"/>
      <w:marRight w:val="0"/>
      <w:marTop w:val="0"/>
      <w:marBottom w:val="0"/>
      <w:divBdr>
        <w:top w:val="none" w:sz="0" w:space="0" w:color="auto"/>
        <w:left w:val="none" w:sz="0" w:space="0" w:color="auto"/>
        <w:bottom w:val="none" w:sz="0" w:space="0" w:color="auto"/>
        <w:right w:val="none" w:sz="0" w:space="0" w:color="auto"/>
      </w:divBdr>
    </w:div>
    <w:div w:id="794448983">
      <w:bodyDiv w:val="1"/>
      <w:marLeft w:val="0"/>
      <w:marRight w:val="0"/>
      <w:marTop w:val="0"/>
      <w:marBottom w:val="0"/>
      <w:divBdr>
        <w:top w:val="none" w:sz="0" w:space="0" w:color="auto"/>
        <w:left w:val="none" w:sz="0" w:space="0" w:color="auto"/>
        <w:bottom w:val="none" w:sz="0" w:space="0" w:color="auto"/>
        <w:right w:val="none" w:sz="0" w:space="0" w:color="auto"/>
      </w:divBdr>
    </w:div>
    <w:div w:id="795105897">
      <w:bodyDiv w:val="1"/>
      <w:marLeft w:val="0"/>
      <w:marRight w:val="0"/>
      <w:marTop w:val="0"/>
      <w:marBottom w:val="0"/>
      <w:divBdr>
        <w:top w:val="none" w:sz="0" w:space="0" w:color="auto"/>
        <w:left w:val="none" w:sz="0" w:space="0" w:color="auto"/>
        <w:bottom w:val="none" w:sz="0" w:space="0" w:color="auto"/>
        <w:right w:val="none" w:sz="0" w:space="0" w:color="auto"/>
      </w:divBdr>
    </w:div>
    <w:div w:id="795562116">
      <w:bodyDiv w:val="1"/>
      <w:marLeft w:val="0"/>
      <w:marRight w:val="0"/>
      <w:marTop w:val="0"/>
      <w:marBottom w:val="0"/>
      <w:divBdr>
        <w:top w:val="none" w:sz="0" w:space="0" w:color="auto"/>
        <w:left w:val="none" w:sz="0" w:space="0" w:color="auto"/>
        <w:bottom w:val="none" w:sz="0" w:space="0" w:color="auto"/>
        <w:right w:val="none" w:sz="0" w:space="0" w:color="auto"/>
      </w:divBdr>
    </w:div>
    <w:div w:id="796338731">
      <w:bodyDiv w:val="1"/>
      <w:marLeft w:val="0"/>
      <w:marRight w:val="0"/>
      <w:marTop w:val="0"/>
      <w:marBottom w:val="0"/>
      <w:divBdr>
        <w:top w:val="none" w:sz="0" w:space="0" w:color="auto"/>
        <w:left w:val="none" w:sz="0" w:space="0" w:color="auto"/>
        <w:bottom w:val="none" w:sz="0" w:space="0" w:color="auto"/>
        <w:right w:val="none" w:sz="0" w:space="0" w:color="auto"/>
      </w:divBdr>
    </w:div>
    <w:div w:id="798033319">
      <w:bodyDiv w:val="1"/>
      <w:marLeft w:val="0"/>
      <w:marRight w:val="0"/>
      <w:marTop w:val="0"/>
      <w:marBottom w:val="0"/>
      <w:divBdr>
        <w:top w:val="none" w:sz="0" w:space="0" w:color="auto"/>
        <w:left w:val="none" w:sz="0" w:space="0" w:color="auto"/>
        <w:bottom w:val="none" w:sz="0" w:space="0" w:color="auto"/>
        <w:right w:val="none" w:sz="0" w:space="0" w:color="auto"/>
      </w:divBdr>
    </w:div>
    <w:div w:id="798643951">
      <w:bodyDiv w:val="1"/>
      <w:marLeft w:val="0"/>
      <w:marRight w:val="0"/>
      <w:marTop w:val="0"/>
      <w:marBottom w:val="0"/>
      <w:divBdr>
        <w:top w:val="none" w:sz="0" w:space="0" w:color="auto"/>
        <w:left w:val="none" w:sz="0" w:space="0" w:color="auto"/>
        <w:bottom w:val="none" w:sz="0" w:space="0" w:color="auto"/>
        <w:right w:val="none" w:sz="0" w:space="0" w:color="auto"/>
      </w:divBdr>
    </w:div>
    <w:div w:id="800227317">
      <w:bodyDiv w:val="1"/>
      <w:marLeft w:val="0"/>
      <w:marRight w:val="0"/>
      <w:marTop w:val="0"/>
      <w:marBottom w:val="0"/>
      <w:divBdr>
        <w:top w:val="none" w:sz="0" w:space="0" w:color="auto"/>
        <w:left w:val="none" w:sz="0" w:space="0" w:color="auto"/>
        <w:bottom w:val="none" w:sz="0" w:space="0" w:color="auto"/>
        <w:right w:val="none" w:sz="0" w:space="0" w:color="auto"/>
      </w:divBdr>
    </w:div>
    <w:div w:id="800727973">
      <w:bodyDiv w:val="1"/>
      <w:marLeft w:val="0"/>
      <w:marRight w:val="0"/>
      <w:marTop w:val="0"/>
      <w:marBottom w:val="0"/>
      <w:divBdr>
        <w:top w:val="none" w:sz="0" w:space="0" w:color="auto"/>
        <w:left w:val="none" w:sz="0" w:space="0" w:color="auto"/>
        <w:bottom w:val="none" w:sz="0" w:space="0" w:color="auto"/>
        <w:right w:val="none" w:sz="0" w:space="0" w:color="auto"/>
      </w:divBdr>
    </w:div>
    <w:div w:id="801197419">
      <w:bodyDiv w:val="1"/>
      <w:marLeft w:val="0"/>
      <w:marRight w:val="0"/>
      <w:marTop w:val="0"/>
      <w:marBottom w:val="0"/>
      <w:divBdr>
        <w:top w:val="none" w:sz="0" w:space="0" w:color="auto"/>
        <w:left w:val="none" w:sz="0" w:space="0" w:color="auto"/>
        <w:bottom w:val="none" w:sz="0" w:space="0" w:color="auto"/>
        <w:right w:val="none" w:sz="0" w:space="0" w:color="auto"/>
      </w:divBdr>
    </w:div>
    <w:div w:id="801457167">
      <w:bodyDiv w:val="1"/>
      <w:marLeft w:val="0"/>
      <w:marRight w:val="0"/>
      <w:marTop w:val="0"/>
      <w:marBottom w:val="0"/>
      <w:divBdr>
        <w:top w:val="none" w:sz="0" w:space="0" w:color="auto"/>
        <w:left w:val="none" w:sz="0" w:space="0" w:color="auto"/>
        <w:bottom w:val="none" w:sz="0" w:space="0" w:color="auto"/>
        <w:right w:val="none" w:sz="0" w:space="0" w:color="auto"/>
      </w:divBdr>
    </w:div>
    <w:div w:id="802620616">
      <w:bodyDiv w:val="1"/>
      <w:marLeft w:val="0"/>
      <w:marRight w:val="0"/>
      <w:marTop w:val="0"/>
      <w:marBottom w:val="0"/>
      <w:divBdr>
        <w:top w:val="none" w:sz="0" w:space="0" w:color="auto"/>
        <w:left w:val="none" w:sz="0" w:space="0" w:color="auto"/>
        <w:bottom w:val="none" w:sz="0" w:space="0" w:color="auto"/>
        <w:right w:val="none" w:sz="0" w:space="0" w:color="auto"/>
      </w:divBdr>
    </w:div>
    <w:div w:id="803693981">
      <w:bodyDiv w:val="1"/>
      <w:marLeft w:val="0"/>
      <w:marRight w:val="0"/>
      <w:marTop w:val="0"/>
      <w:marBottom w:val="0"/>
      <w:divBdr>
        <w:top w:val="none" w:sz="0" w:space="0" w:color="auto"/>
        <w:left w:val="none" w:sz="0" w:space="0" w:color="auto"/>
        <w:bottom w:val="none" w:sz="0" w:space="0" w:color="auto"/>
        <w:right w:val="none" w:sz="0" w:space="0" w:color="auto"/>
      </w:divBdr>
    </w:div>
    <w:div w:id="803933637">
      <w:bodyDiv w:val="1"/>
      <w:marLeft w:val="0"/>
      <w:marRight w:val="0"/>
      <w:marTop w:val="0"/>
      <w:marBottom w:val="0"/>
      <w:divBdr>
        <w:top w:val="none" w:sz="0" w:space="0" w:color="auto"/>
        <w:left w:val="none" w:sz="0" w:space="0" w:color="auto"/>
        <w:bottom w:val="none" w:sz="0" w:space="0" w:color="auto"/>
        <w:right w:val="none" w:sz="0" w:space="0" w:color="auto"/>
      </w:divBdr>
    </w:div>
    <w:div w:id="804464607">
      <w:bodyDiv w:val="1"/>
      <w:marLeft w:val="0"/>
      <w:marRight w:val="0"/>
      <w:marTop w:val="0"/>
      <w:marBottom w:val="0"/>
      <w:divBdr>
        <w:top w:val="none" w:sz="0" w:space="0" w:color="auto"/>
        <w:left w:val="none" w:sz="0" w:space="0" w:color="auto"/>
        <w:bottom w:val="none" w:sz="0" w:space="0" w:color="auto"/>
        <w:right w:val="none" w:sz="0" w:space="0" w:color="auto"/>
      </w:divBdr>
    </w:div>
    <w:div w:id="807745310">
      <w:bodyDiv w:val="1"/>
      <w:marLeft w:val="0"/>
      <w:marRight w:val="0"/>
      <w:marTop w:val="0"/>
      <w:marBottom w:val="0"/>
      <w:divBdr>
        <w:top w:val="none" w:sz="0" w:space="0" w:color="auto"/>
        <w:left w:val="none" w:sz="0" w:space="0" w:color="auto"/>
        <w:bottom w:val="none" w:sz="0" w:space="0" w:color="auto"/>
        <w:right w:val="none" w:sz="0" w:space="0" w:color="auto"/>
      </w:divBdr>
    </w:div>
    <w:div w:id="808015746">
      <w:bodyDiv w:val="1"/>
      <w:marLeft w:val="0"/>
      <w:marRight w:val="0"/>
      <w:marTop w:val="0"/>
      <w:marBottom w:val="0"/>
      <w:divBdr>
        <w:top w:val="none" w:sz="0" w:space="0" w:color="auto"/>
        <w:left w:val="none" w:sz="0" w:space="0" w:color="auto"/>
        <w:bottom w:val="none" w:sz="0" w:space="0" w:color="auto"/>
        <w:right w:val="none" w:sz="0" w:space="0" w:color="auto"/>
      </w:divBdr>
    </w:div>
    <w:div w:id="808935155">
      <w:bodyDiv w:val="1"/>
      <w:marLeft w:val="0"/>
      <w:marRight w:val="0"/>
      <w:marTop w:val="0"/>
      <w:marBottom w:val="0"/>
      <w:divBdr>
        <w:top w:val="none" w:sz="0" w:space="0" w:color="auto"/>
        <w:left w:val="none" w:sz="0" w:space="0" w:color="auto"/>
        <w:bottom w:val="none" w:sz="0" w:space="0" w:color="auto"/>
        <w:right w:val="none" w:sz="0" w:space="0" w:color="auto"/>
      </w:divBdr>
    </w:div>
    <w:div w:id="810287321">
      <w:bodyDiv w:val="1"/>
      <w:marLeft w:val="0"/>
      <w:marRight w:val="0"/>
      <w:marTop w:val="0"/>
      <w:marBottom w:val="0"/>
      <w:divBdr>
        <w:top w:val="none" w:sz="0" w:space="0" w:color="auto"/>
        <w:left w:val="none" w:sz="0" w:space="0" w:color="auto"/>
        <w:bottom w:val="none" w:sz="0" w:space="0" w:color="auto"/>
        <w:right w:val="none" w:sz="0" w:space="0" w:color="auto"/>
      </w:divBdr>
    </w:div>
    <w:div w:id="810828906">
      <w:bodyDiv w:val="1"/>
      <w:marLeft w:val="0"/>
      <w:marRight w:val="0"/>
      <w:marTop w:val="0"/>
      <w:marBottom w:val="0"/>
      <w:divBdr>
        <w:top w:val="none" w:sz="0" w:space="0" w:color="auto"/>
        <w:left w:val="none" w:sz="0" w:space="0" w:color="auto"/>
        <w:bottom w:val="none" w:sz="0" w:space="0" w:color="auto"/>
        <w:right w:val="none" w:sz="0" w:space="0" w:color="auto"/>
      </w:divBdr>
    </w:div>
    <w:div w:id="812450342">
      <w:bodyDiv w:val="1"/>
      <w:marLeft w:val="0"/>
      <w:marRight w:val="0"/>
      <w:marTop w:val="0"/>
      <w:marBottom w:val="0"/>
      <w:divBdr>
        <w:top w:val="none" w:sz="0" w:space="0" w:color="auto"/>
        <w:left w:val="none" w:sz="0" w:space="0" w:color="auto"/>
        <w:bottom w:val="none" w:sz="0" w:space="0" w:color="auto"/>
        <w:right w:val="none" w:sz="0" w:space="0" w:color="auto"/>
      </w:divBdr>
    </w:div>
    <w:div w:id="814177303">
      <w:bodyDiv w:val="1"/>
      <w:marLeft w:val="0"/>
      <w:marRight w:val="0"/>
      <w:marTop w:val="0"/>
      <w:marBottom w:val="0"/>
      <w:divBdr>
        <w:top w:val="none" w:sz="0" w:space="0" w:color="auto"/>
        <w:left w:val="none" w:sz="0" w:space="0" w:color="auto"/>
        <w:bottom w:val="none" w:sz="0" w:space="0" w:color="auto"/>
        <w:right w:val="none" w:sz="0" w:space="0" w:color="auto"/>
      </w:divBdr>
    </w:div>
    <w:div w:id="814765064">
      <w:bodyDiv w:val="1"/>
      <w:marLeft w:val="0"/>
      <w:marRight w:val="0"/>
      <w:marTop w:val="0"/>
      <w:marBottom w:val="0"/>
      <w:divBdr>
        <w:top w:val="none" w:sz="0" w:space="0" w:color="auto"/>
        <w:left w:val="none" w:sz="0" w:space="0" w:color="auto"/>
        <w:bottom w:val="none" w:sz="0" w:space="0" w:color="auto"/>
        <w:right w:val="none" w:sz="0" w:space="0" w:color="auto"/>
      </w:divBdr>
    </w:div>
    <w:div w:id="815076063">
      <w:bodyDiv w:val="1"/>
      <w:marLeft w:val="0"/>
      <w:marRight w:val="0"/>
      <w:marTop w:val="0"/>
      <w:marBottom w:val="0"/>
      <w:divBdr>
        <w:top w:val="none" w:sz="0" w:space="0" w:color="auto"/>
        <w:left w:val="none" w:sz="0" w:space="0" w:color="auto"/>
        <w:bottom w:val="none" w:sz="0" w:space="0" w:color="auto"/>
        <w:right w:val="none" w:sz="0" w:space="0" w:color="auto"/>
      </w:divBdr>
    </w:div>
    <w:div w:id="816723251">
      <w:bodyDiv w:val="1"/>
      <w:marLeft w:val="0"/>
      <w:marRight w:val="0"/>
      <w:marTop w:val="0"/>
      <w:marBottom w:val="0"/>
      <w:divBdr>
        <w:top w:val="none" w:sz="0" w:space="0" w:color="auto"/>
        <w:left w:val="none" w:sz="0" w:space="0" w:color="auto"/>
        <w:bottom w:val="none" w:sz="0" w:space="0" w:color="auto"/>
        <w:right w:val="none" w:sz="0" w:space="0" w:color="auto"/>
      </w:divBdr>
    </w:div>
    <w:div w:id="817461438">
      <w:bodyDiv w:val="1"/>
      <w:marLeft w:val="0"/>
      <w:marRight w:val="0"/>
      <w:marTop w:val="0"/>
      <w:marBottom w:val="0"/>
      <w:divBdr>
        <w:top w:val="none" w:sz="0" w:space="0" w:color="auto"/>
        <w:left w:val="none" w:sz="0" w:space="0" w:color="auto"/>
        <w:bottom w:val="none" w:sz="0" w:space="0" w:color="auto"/>
        <w:right w:val="none" w:sz="0" w:space="0" w:color="auto"/>
      </w:divBdr>
    </w:div>
    <w:div w:id="818425876">
      <w:bodyDiv w:val="1"/>
      <w:marLeft w:val="0"/>
      <w:marRight w:val="0"/>
      <w:marTop w:val="0"/>
      <w:marBottom w:val="0"/>
      <w:divBdr>
        <w:top w:val="none" w:sz="0" w:space="0" w:color="auto"/>
        <w:left w:val="none" w:sz="0" w:space="0" w:color="auto"/>
        <w:bottom w:val="none" w:sz="0" w:space="0" w:color="auto"/>
        <w:right w:val="none" w:sz="0" w:space="0" w:color="auto"/>
      </w:divBdr>
    </w:div>
    <w:div w:id="818768540">
      <w:bodyDiv w:val="1"/>
      <w:marLeft w:val="0"/>
      <w:marRight w:val="0"/>
      <w:marTop w:val="0"/>
      <w:marBottom w:val="0"/>
      <w:divBdr>
        <w:top w:val="none" w:sz="0" w:space="0" w:color="auto"/>
        <w:left w:val="none" w:sz="0" w:space="0" w:color="auto"/>
        <w:bottom w:val="none" w:sz="0" w:space="0" w:color="auto"/>
        <w:right w:val="none" w:sz="0" w:space="0" w:color="auto"/>
      </w:divBdr>
    </w:div>
    <w:div w:id="819005126">
      <w:bodyDiv w:val="1"/>
      <w:marLeft w:val="0"/>
      <w:marRight w:val="0"/>
      <w:marTop w:val="0"/>
      <w:marBottom w:val="0"/>
      <w:divBdr>
        <w:top w:val="none" w:sz="0" w:space="0" w:color="auto"/>
        <w:left w:val="none" w:sz="0" w:space="0" w:color="auto"/>
        <w:bottom w:val="none" w:sz="0" w:space="0" w:color="auto"/>
        <w:right w:val="none" w:sz="0" w:space="0" w:color="auto"/>
      </w:divBdr>
    </w:div>
    <w:div w:id="820463485">
      <w:bodyDiv w:val="1"/>
      <w:marLeft w:val="0"/>
      <w:marRight w:val="0"/>
      <w:marTop w:val="0"/>
      <w:marBottom w:val="0"/>
      <w:divBdr>
        <w:top w:val="none" w:sz="0" w:space="0" w:color="auto"/>
        <w:left w:val="none" w:sz="0" w:space="0" w:color="auto"/>
        <w:bottom w:val="none" w:sz="0" w:space="0" w:color="auto"/>
        <w:right w:val="none" w:sz="0" w:space="0" w:color="auto"/>
      </w:divBdr>
    </w:div>
    <w:div w:id="824394430">
      <w:bodyDiv w:val="1"/>
      <w:marLeft w:val="0"/>
      <w:marRight w:val="0"/>
      <w:marTop w:val="0"/>
      <w:marBottom w:val="0"/>
      <w:divBdr>
        <w:top w:val="none" w:sz="0" w:space="0" w:color="auto"/>
        <w:left w:val="none" w:sz="0" w:space="0" w:color="auto"/>
        <w:bottom w:val="none" w:sz="0" w:space="0" w:color="auto"/>
        <w:right w:val="none" w:sz="0" w:space="0" w:color="auto"/>
      </w:divBdr>
    </w:div>
    <w:div w:id="825055458">
      <w:bodyDiv w:val="1"/>
      <w:marLeft w:val="0"/>
      <w:marRight w:val="0"/>
      <w:marTop w:val="0"/>
      <w:marBottom w:val="0"/>
      <w:divBdr>
        <w:top w:val="none" w:sz="0" w:space="0" w:color="auto"/>
        <w:left w:val="none" w:sz="0" w:space="0" w:color="auto"/>
        <w:bottom w:val="none" w:sz="0" w:space="0" w:color="auto"/>
        <w:right w:val="none" w:sz="0" w:space="0" w:color="auto"/>
      </w:divBdr>
    </w:div>
    <w:div w:id="830873753">
      <w:bodyDiv w:val="1"/>
      <w:marLeft w:val="0"/>
      <w:marRight w:val="0"/>
      <w:marTop w:val="0"/>
      <w:marBottom w:val="0"/>
      <w:divBdr>
        <w:top w:val="none" w:sz="0" w:space="0" w:color="auto"/>
        <w:left w:val="none" w:sz="0" w:space="0" w:color="auto"/>
        <w:bottom w:val="none" w:sz="0" w:space="0" w:color="auto"/>
        <w:right w:val="none" w:sz="0" w:space="0" w:color="auto"/>
      </w:divBdr>
    </w:div>
    <w:div w:id="832724987">
      <w:bodyDiv w:val="1"/>
      <w:marLeft w:val="0"/>
      <w:marRight w:val="0"/>
      <w:marTop w:val="0"/>
      <w:marBottom w:val="0"/>
      <w:divBdr>
        <w:top w:val="none" w:sz="0" w:space="0" w:color="auto"/>
        <w:left w:val="none" w:sz="0" w:space="0" w:color="auto"/>
        <w:bottom w:val="none" w:sz="0" w:space="0" w:color="auto"/>
        <w:right w:val="none" w:sz="0" w:space="0" w:color="auto"/>
      </w:divBdr>
    </w:div>
    <w:div w:id="833060435">
      <w:bodyDiv w:val="1"/>
      <w:marLeft w:val="0"/>
      <w:marRight w:val="0"/>
      <w:marTop w:val="0"/>
      <w:marBottom w:val="0"/>
      <w:divBdr>
        <w:top w:val="none" w:sz="0" w:space="0" w:color="auto"/>
        <w:left w:val="none" w:sz="0" w:space="0" w:color="auto"/>
        <w:bottom w:val="none" w:sz="0" w:space="0" w:color="auto"/>
        <w:right w:val="none" w:sz="0" w:space="0" w:color="auto"/>
      </w:divBdr>
    </w:div>
    <w:div w:id="834339701">
      <w:bodyDiv w:val="1"/>
      <w:marLeft w:val="0"/>
      <w:marRight w:val="0"/>
      <w:marTop w:val="0"/>
      <w:marBottom w:val="0"/>
      <w:divBdr>
        <w:top w:val="none" w:sz="0" w:space="0" w:color="auto"/>
        <w:left w:val="none" w:sz="0" w:space="0" w:color="auto"/>
        <w:bottom w:val="none" w:sz="0" w:space="0" w:color="auto"/>
        <w:right w:val="none" w:sz="0" w:space="0" w:color="auto"/>
      </w:divBdr>
    </w:div>
    <w:div w:id="835799943">
      <w:bodyDiv w:val="1"/>
      <w:marLeft w:val="0"/>
      <w:marRight w:val="0"/>
      <w:marTop w:val="0"/>
      <w:marBottom w:val="0"/>
      <w:divBdr>
        <w:top w:val="none" w:sz="0" w:space="0" w:color="auto"/>
        <w:left w:val="none" w:sz="0" w:space="0" w:color="auto"/>
        <w:bottom w:val="none" w:sz="0" w:space="0" w:color="auto"/>
        <w:right w:val="none" w:sz="0" w:space="0" w:color="auto"/>
      </w:divBdr>
    </w:div>
    <w:div w:id="839932661">
      <w:bodyDiv w:val="1"/>
      <w:marLeft w:val="0"/>
      <w:marRight w:val="0"/>
      <w:marTop w:val="0"/>
      <w:marBottom w:val="0"/>
      <w:divBdr>
        <w:top w:val="none" w:sz="0" w:space="0" w:color="auto"/>
        <w:left w:val="none" w:sz="0" w:space="0" w:color="auto"/>
        <w:bottom w:val="none" w:sz="0" w:space="0" w:color="auto"/>
        <w:right w:val="none" w:sz="0" w:space="0" w:color="auto"/>
      </w:divBdr>
    </w:div>
    <w:div w:id="841973217">
      <w:bodyDiv w:val="1"/>
      <w:marLeft w:val="0"/>
      <w:marRight w:val="0"/>
      <w:marTop w:val="0"/>
      <w:marBottom w:val="0"/>
      <w:divBdr>
        <w:top w:val="none" w:sz="0" w:space="0" w:color="auto"/>
        <w:left w:val="none" w:sz="0" w:space="0" w:color="auto"/>
        <w:bottom w:val="none" w:sz="0" w:space="0" w:color="auto"/>
        <w:right w:val="none" w:sz="0" w:space="0" w:color="auto"/>
      </w:divBdr>
    </w:div>
    <w:div w:id="842166522">
      <w:bodyDiv w:val="1"/>
      <w:marLeft w:val="0"/>
      <w:marRight w:val="0"/>
      <w:marTop w:val="0"/>
      <w:marBottom w:val="0"/>
      <w:divBdr>
        <w:top w:val="none" w:sz="0" w:space="0" w:color="auto"/>
        <w:left w:val="none" w:sz="0" w:space="0" w:color="auto"/>
        <w:bottom w:val="none" w:sz="0" w:space="0" w:color="auto"/>
        <w:right w:val="none" w:sz="0" w:space="0" w:color="auto"/>
      </w:divBdr>
    </w:div>
    <w:div w:id="843544751">
      <w:bodyDiv w:val="1"/>
      <w:marLeft w:val="0"/>
      <w:marRight w:val="0"/>
      <w:marTop w:val="0"/>
      <w:marBottom w:val="0"/>
      <w:divBdr>
        <w:top w:val="none" w:sz="0" w:space="0" w:color="auto"/>
        <w:left w:val="none" w:sz="0" w:space="0" w:color="auto"/>
        <w:bottom w:val="none" w:sz="0" w:space="0" w:color="auto"/>
        <w:right w:val="none" w:sz="0" w:space="0" w:color="auto"/>
      </w:divBdr>
    </w:div>
    <w:div w:id="844326069">
      <w:bodyDiv w:val="1"/>
      <w:marLeft w:val="0"/>
      <w:marRight w:val="0"/>
      <w:marTop w:val="0"/>
      <w:marBottom w:val="0"/>
      <w:divBdr>
        <w:top w:val="none" w:sz="0" w:space="0" w:color="auto"/>
        <w:left w:val="none" w:sz="0" w:space="0" w:color="auto"/>
        <w:bottom w:val="none" w:sz="0" w:space="0" w:color="auto"/>
        <w:right w:val="none" w:sz="0" w:space="0" w:color="auto"/>
      </w:divBdr>
    </w:div>
    <w:div w:id="845099266">
      <w:bodyDiv w:val="1"/>
      <w:marLeft w:val="0"/>
      <w:marRight w:val="0"/>
      <w:marTop w:val="0"/>
      <w:marBottom w:val="0"/>
      <w:divBdr>
        <w:top w:val="none" w:sz="0" w:space="0" w:color="auto"/>
        <w:left w:val="none" w:sz="0" w:space="0" w:color="auto"/>
        <w:bottom w:val="none" w:sz="0" w:space="0" w:color="auto"/>
        <w:right w:val="none" w:sz="0" w:space="0" w:color="auto"/>
      </w:divBdr>
    </w:div>
    <w:div w:id="845290139">
      <w:bodyDiv w:val="1"/>
      <w:marLeft w:val="0"/>
      <w:marRight w:val="0"/>
      <w:marTop w:val="0"/>
      <w:marBottom w:val="0"/>
      <w:divBdr>
        <w:top w:val="none" w:sz="0" w:space="0" w:color="auto"/>
        <w:left w:val="none" w:sz="0" w:space="0" w:color="auto"/>
        <w:bottom w:val="none" w:sz="0" w:space="0" w:color="auto"/>
        <w:right w:val="none" w:sz="0" w:space="0" w:color="auto"/>
      </w:divBdr>
    </w:div>
    <w:div w:id="847404221">
      <w:bodyDiv w:val="1"/>
      <w:marLeft w:val="0"/>
      <w:marRight w:val="0"/>
      <w:marTop w:val="0"/>
      <w:marBottom w:val="0"/>
      <w:divBdr>
        <w:top w:val="none" w:sz="0" w:space="0" w:color="auto"/>
        <w:left w:val="none" w:sz="0" w:space="0" w:color="auto"/>
        <w:bottom w:val="none" w:sz="0" w:space="0" w:color="auto"/>
        <w:right w:val="none" w:sz="0" w:space="0" w:color="auto"/>
      </w:divBdr>
    </w:div>
    <w:div w:id="849104527">
      <w:bodyDiv w:val="1"/>
      <w:marLeft w:val="0"/>
      <w:marRight w:val="0"/>
      <w:marTop w:val="0"/>
      <w:marBottom w:val="0"/>
      <w:divBdr>
        <w:top w:val="none" w:sz="0" w:space="0" w:color="auto"/>
        <w:left w:val="none" w:sz="0" w:space="0" w:color="auto"/>
        <w:bottom w:val="none" w:sz="0" w:space="0" w:color="auto"/>
        <w:right w:val="none" w:sz="0" w:space="0" w:color="auto"/>
      </w:divBdr>
    </w:div>
    <w:div w:id="854659792">
      <w:bodyDiv w:val="1"/>
      <w:marLeft w:val="0"/>
      <w:marRight w:val="0"/>
      <w:marTop w:val="0"/>
      <w:marBottom w:val="0"/>
      <w:divBdr>
        <w:top w:val="none" w:sz="0" w:space="0" w:color="auto"/>
        <w:left w:val="none" w:sz="0" w:space="0" w:color="auto"/>
        <w:bottom w:val="none" w:sz="0" w:space="0" w:color="auto"/>
        <w:right w:val="none" w:sz="0" w:space="0" w:color="auto"/>
      </w:divBdr>
    </w:div>
    <w:div w:id="857037959">
      <w:bodyDiv w:val="1"/>
      <w:marLeft w:val="0"/>
      <w:marRight w:val="0"/>
      <w:marTop w:val="0"/>
      <w:marBottom w:val="0"/>
      <w:divBdr>
        <w:top w:val="none" w:sz="0" w:space="0" w:color="auto"/>
        <w:left w:val="none" w:sz="0" w:space="0" w:color="auto"/>
        <w:bottom w:val="none" w:sz="0" w:space="0" w:color="auto"/>
        <w:right w:val="none" w:sz="0" w:space="0" w:color="auto"/>
      </w:divBdr>
    </w:div>
    <w:div w:id="861553265">
      <w:bodyDiv w:val="1"/>
      <w:marLeft w:val="0"/>
      <w:marRight w:val="0"/>
      <w:marTop w:val="0"/>
      <w:marBottom w:val="0"/>
      <w:divBdr>
        <w:top w:val="none" w:sz="0" w:space="0" w:color="auto"/>
        <w:left w:val="none" w:sz="0" w:space="0" w:color="auto"/>
        <w:bottom w:val="none" w:sz="0" w:space="0" w:color="auto"/>
        <w:right w:val="none" w:sz="0" w:space="0" w:color="auto"/>
      </w:divBdr>
    </w:div>
    <w:div w:id="862942720">
      <w:bodyDiv w:val="1"/>
      <w:marLeft w:val="0"/>
      <w:marRight w:val="0"/>
      <w:marTop w:val="0"/>
      <w:marBottom w:val="0"/>
      <w:divBdr>
        <w:top w:val="none" w:sz="0" w:space="0" w:color="auto"/>
        <w:left w:val="none" w:sz="0" w:space="0" w:color="auto"/>
        <w:bottom w:val="none" w:sz="0" w:space="0" w:color="auto"/>
        <w:right w:val="none" w:sz="0" w:space="0" w:color="auto"/>
      </w:divBdr>
    </w:div>
    <w:div w:id="863637775">
      <w:bodyDiv w:val="1"/>
      <w:marLeft w:val="0"/>
      <w:marRight w:val="0"/>
      <w:marTop w:val="0"/>
      <w:marBottom w:val="0"/>
      <w:divBdr>
        <w:top w:val="none" w:sz="0" w:space="0" w:color="auto"/>
        <w:left w:val="none" w:sz="0" w:space="0" w:color="auto"/>
        <w:bottom w:val="none" w:sz="0" w:space="0" w:color="auto"/>
        <w:right w:val="none" w:sz="0" w:space="0" w:color="auto"/>
      </w:divBdr>
    </w:div>
    <w:div w:id="865412725">
      <w:bodyDiv w:val="1"/>
      <w:marLeft w:val="0"/>
      <w:marRight w:val="0"/>
      <w:marTop w:val="0"/>
      <w:marBottom w:val="0"/>
      <w:divBdr>
        <w:top w:val="none" w:sz="0" w:space="0" w:color="auto"/>
        <w:left w:val="none" w:sz="0" w:space="0" w:color="auto"/>
        <w:bottom w:val="none" w:sz="0" w:space="0" w:color="auto"/>
        <w:right w:val="none" w:sz="0" w:space="0" w:color="auto"/>
      </w:divBdr>
    </w:div>
    <w:div w:id="869145897">
      <w:bodyDiv w:val="1"/>
      <w:marLeft w:val="0"/>
      <w:marRight w:val="0"/>
      <w:marTop w:val="0"/>
      <w:marBottom w:val="0"/>
      <w:divBdr>
        <w:top w:val="none" w:sz="0" w:space="0" w:color="auto"/>
        <w:left w:val="none" w:sz="0" w:space="0" w:color="auto"/>
        <w:bottom w:val="none" w:sz="0" w:space="0" w:color="auto"/>
        <w:right w:val="none" w:sz="0" w:space="0" w:color="auto"/>
      </w:divBdr>
    </w:div>
    <w:div w:id="870461493">
      <w:bodyDiv w:val="1"/>
      <w:marLeft w:val="0"/>
      <w:marRight w:val="0"/>
      <w:marTop w:val="0"/>
      <w:marBottom w:val="0"/>
      <w:divBdr>
        <w:top w:val="none" w:sz="0" w:space="0" w:color="auto"/>
        <w:left w:val="none" w:sz="0" w:space="0" w:color="auto"/>
        <w:bottom w:val="none" w:sz="0" w:space="0" w:color="auto"/>
        <w:right w:val="none" w:sz="0" w:space="0" w:color="auto"/>
      </w:divBdr>
    </w:div>
    <w:div w:id="876351535">
      <w:bodyDiv w:val="1"/>
      <w:marLeft w:val="0"/>
      <w:marRight w:val="0"/>
      <w:marTop w:val="0"/>
      <w:marBottom w:val="0"/>
      <w:divBdr>
        <w:top w:val="none" w:sz="0" w:space="0" w:color="auto"/>
        <w:left w:val="none" w:sz="0" w:space="0" w:color="auto"/>
        <w:bottom w:val="none" w:sz="0" w:space="0" w:color="auto"/>
        <w:right w:val="none" w:sz="0" w:space="0" w:color="auto"/>
      </w:divBdr>
    </w:div>
    <w:div w:id="876820919">
      <w:bodyDiv w:val="1"/>
      <w:marLeft w:val="0"/>
      <w:marRight w:val="0"/>
      <w:marTop w:val="0"/>
      <w:marBottom w:val="0"/>
      <w:divBdr>
        <w:top w:val="none" w:sz="0" w:space="0" w:color="auto"/>
        <w:left w:val="none" w:sz="0" w:space="0" w:color="auto"/>
        <w:bottom w:val="none" w:sz="0" w:space="0" w:color="auto"/>
        <w:right w:val="none" w:sz="0" w:space="0" w:color="auto"/>
      </w:divBdr>
    </w:div>
    <w:div w:id="878785555">
      <w:bodyDiv w:val="1"/>
      <w:marLeft w:val="0"/>
      <w:marRight w:val="0"/>
      <w:marTop w:val="0"/>
      <w:marBottom w:val="0"/>
      <w:divBdr>
        <w:top w:val="none" w:sz="0" w:space="0" w:color="auto"/>
        <w:left w:val="none" w:sz="0" w:space="0" w:color="auto"/>
        <w:bottom w:val="none" w:sz="0" w:space="0" w:color="auto"/>
        <w:right w:val="none" w:sz="0" w:space="0" w:color="auto"/>
      </w:divBdr>
    </w:div>
    <w:div w:id="880437317">
      <w:bodyDiv w:val="1"/>
      <w:marLeft w:val="0"/>
      <w:marRight w:val="0"/>
      <w:marTop w:val="0"/>
      <w:marBottom w:val="0"/>
      <w:divBdr>
        <w:top w:val="none" w:sz="0" w:space="0" w:color="auto"/>
        <w:left w:val="none" w:sz="0" w:space="0" w:color="auto"/>
        <w:bottom w:val="none" w:sz="0" w:space="0" w:color="auto"/>
        <w:right w:val="none" w:sz="0" w:space="0" w:color="auto"/>
      </w:divBdr>
    </w:div>
    <w:div w:id="880898392">
      <w:bodyDiv w:val="1"/>
      <w:marLeft w:val="0"/>
      <w:marRight w:val="0"/>
      <w:marTop w:val="0"/>
      <w:marBottom w:val="0"/>
      <w:divBdr>
        <w:top w:val="none" w:sz="0" w:space="0" w:color="auto"/>
        <w:left w:val="none" w:sz="0" w:space="0" w:color="auto"/>
        <w:bottom w:val="none" w:sz="0" w:space="0" w:color="auto"/>
        <w:right w:val="none" w:sz="0" w:space="0" w:color="auto"/>
      </w:divBdr>
    </w:div>
    <w:div w:id="881017083">
      <w:bodyDiv w:val="1"/>
      <w:marLeft w:val="0"/>
      <w:marRight w:val="0"/>
      <w:marTop w:val="0"/>
      <w:marBottom w:val="0"/>
      <w:divBdr>
        <w:top w:val="none" w:sz="0" w:space="0" w:color="auto"/>
        <w:left w:val="none" w:sz="0" w:space="0" w:color="auto"/>
        <w:bottom w:val="none" w:sz="0" w:space="0" w:color="auto"/>
        <w:right w:val="none" w:sz="0" w:space="0" w:color="auto"/>
      </w:divBdr>
    </w:div>
    <w:div w:id="882131669">
      <w:bodyDiv w:val="1"/>
      <w:marLeft w:val="0"/>
      <w:marRight w:val="0"/>
      <w:marTop w:val="0"/>
      <w:marBottom w:val="0"/>
      <w:divBdr>
        <w:top w:val="none" w:sz="0" w:space="0" w:color="auto"/>
        <w:left w:val="none" w:sz="0" w:space="0" w:color="auto"/>
        <w:bottom w:val="none" w:sz="0" w:space="0" w:color="auto"/>
        <w:right w:val="none" w:sz="0" w:space="0" w:color="auto"/>
      </w:divBdr>
    </w:div>
    <w:div w:id="887453045">
      <w:bodyDiv w:val="1"/>
      <w:marLeft w:val="0"/>
      <w:marRight w:val="0"/>
      <w:marTop w:val="0"/>
      <w:marBottom w:val="0"/>
      <w:divBdr>
        <w:top w:val="none" w:sz="0" w:space="0" w:color="auto"/>
        <w:left w:val="none" w:sz="0" w:space="0" w:color="auto"/>
        <w:bottom w:val="none" w:sz="0" w:space="0" w:color="auto"/>
        <w:right w:val="none" w:sz="0" w:space="0" w:color="auto"/>
      </w:divBdr>
    </w:div>
    <w:div w:id="889656046">
      <w:bodyDiv w:val="1"/>
      <w:marLeft w:val="0"/>
      <w:marRight w:val="0"/>
      <w:marTop w:val="0"/>
      <w:marBottom w:val="0"/>
      <w:divBdr>
        <w:top w:val="none" w:sz="0" w:space="0" w:color="auto"/>
        <w:left w:val="none" w:sz="0" w:space="0" w:color="auto"/>
        <w:bottom w:val="none" w:sz="0" w:space="0" w:color="auto"/>
        <w:right w:val="none" w:sz="0" w:space="0" w:color="auto"/>
      </w:divBdr>
    </w:div>
    <w:div w:id="891110956">
      <w:bodyDiv w:val="1"/>
      <w:marLeft w:val="0"/>
      <w:marRight w:val="0"/>
      <w:marTop w:val="0"/>
      <w:marBottom w:val="0"/>
      <w:divBdr>
        <w:top w:val="none" w:sz="0" w:space="0" w:color="auto"/>
        <w:left w:val="none" w:sz="0" w:space="0" w:color="auto"/>
        <w:bottom w:val="none" w:sz="0" w:space="0" w:color="auto"/>
        <w:right w:val="none" w:sz="0" w:space="0" w:color="auto"/>
      </w:divBdr>
    </w:div>
    <w:div w:id="895164671">
      <w:bodyDiv w:val="1"/>
      <w:marLeft w:val="0"/>
      <w:marRight w:val="0"/>
      <w:marTop w:val="0"/>
      <w:marBottom w:val="0"/>
      <w:divBdr>
        <w:top w:val="none" w:sz="0" w:space="0" w:color="auto"/>
        <w:left w:val="none" w:sz="0" w:space="0" w:color="auto"/>
        <w:bottom w:val="none" w:sz="0" w:space="0" w:color="auto"/>
        <w:right w:val="none" w:sz="0" w:space="0" w:color="auto"/>
      </w:divBdr>
    </w:div>
    <w:div w:id="895631737">
      <w:bodyDiv w:val="1"/>
      <w:marLeft w:val="0"/>
      <w:marRight w:val="0"/>
      <w:marTop w:val="0"/>
      <w:marBottom w:val="0"/>
      <w:divBdr>
        <w:top w:val="none" w:sz="0" w:space="0" w:color="auto"/>
        <w:left w:val="none" w:sz="0" w:space="0" w:color="auto"/>
        <w:bottom w:val="none" w:sz="0" w:space="0" w:color="auto"/>
        <w:right w:val="none" w:sz="0" w:space="0" w:color="auto"/>
      </w:divBdr>
    </w:div>
    <w:div w:id="896089155">
      <w:bodyDiv w:val="1"/>
      <w:marLeft w:val="0"/>
      <w:marRight w:val="0"/>
      <w:marTop w:val="0"/>
      <w:marBottom w:val="0"/>
      <w:divBdr>
        <w:top w:val="none" w:sz="0" w:space="0" w:color="auto"/>
        <w:left w:val="none" w:sz="0" w:space="0" w:color="auto"/>
        <w:bottom w:val="none" w:sz="0" w:space="0" w:color="auto"/>
        <w:right w:val="none" w:sz="0" w:space="0" w:color="auto"/>
      </w:divBdr>
    </w:div>
    <w:div w:id="897398883">
      <w:bodyDiv w:val="1"/>
      <w:marLeft w:val="0"/>
      <w:marRight w:val="0"/>
      <w:marTop w:val="0"/>
      <w:marBottom w:val="0"/>
      <w:divBdr>
        <w:top w:val="none" w:sz="0" w:space="0" w:color="auto"/>
        <w:left w:val="none" w:sz="0" w:space="0" w:color="auto"/>
        <w:bottom w:val="none" w:sz="0" w:space="0" w:color="auto"/>
        <w:right w:val="none" w:sz="0" w:space="0" w:color="auto"/>
      </w:divBdr>
    </w:div>
    <w:div w:id="900556701">
      <w:bodyDiv w:val="1"/>
      <w:marLeft w:val="0"/>
      <w:marRight w:val="0"/>
      <w:marTop w:val="0"/>
      <w:marBottom w:val="0"/>
      <w:divBdr>
        <w:top w:val="none" w:sz="0" w:space="0" w:color="auto"/>
        <w:left w:val="none" w:sz="0" w:space="0" w:color="auto"/>
        <w:bottom w:val="none" w:sz="0" w:space="0" w:color="auto"/>
        <w:right w:val="none" w:sz="0" w:space="0" w:color="auto"/>
      </w:divBdr>
    </w:div>
    <w:div w:id="903300788">
      <w:bodyDiv w:val="1"/>
      <w:marLeft w:val="0"/>
      <w:marRight w:val="0"/>
      <w:marTop w:val="0"/>
      <w:marBottom w:val="0"/>
      <w:divBdr>
        <w:top w:val="none" w:sz="0" w:space="0" w:color="auto"/>
        <w:left w:val="none" w:sz="0" w:space="0" w:color="auto"/>
        <w:bottom w:val="none" w:sz="0" w:space="0" w:color="auto"/>
        <w:right w:val="none" w:sz="0" w:space="0" w:color="auto"/>
      </w:divBdr>
    </w:div>
    <w:div w:id="904534022">
      <w:bodyDiv w:val="1"/>
      <w:marLeft w:val="0"/>
      <w:marRight w:val="0"/>
      <w:marTop w:val="0"/>
      <w:marBottom w:val="0"/>
      <w:divBdr>
        <w:top w:val="none" w:sz="0" w:space="0" w:color="auto"/>
        <w:left w:val="none" w:sz="0" w:space="0" w:color="auto"/>
        <w:bottom w:val="none" w:sz="0" w:space="0" w:color="auto"/>
        <w:right w:val="none" w:sz="0" w:space="0" w:color="auto"/>
      </w:divBdr>
    </w:div>
    <w:div w:id="905535284">
      <w:bodyDiv w:val="1"/>
      <w:marLeft w:val="0"/>
      <w:marRight w:val="0"/>
      <w:marTop w:val="0"/>
      <w:marBottom w:val="0"/>
      <w:divBdr>
        <w:top w:val="none" w:sz="0" w:space="0" w:color="auto"/>
        <w:left w:val="none" w:sz="0" w:space="0" w:color="auto"/>
        <w:bottom w:val="none" w:sz="0" w:space="0" w:color="auto"/>
        <w:right w:val="none" w:sz="0" w:space="0" w:color="auto"/>
      </w:divBdr>
    </w:div>
    <w:div w:id="906299726">
      <w:bodyDiv w:val="1"/>
      <w:marLeft w:val="0"/>
      <w:marRight w:val="0"/>
      <w:marTop w:val="0"/>
      <w:marBottom w:val="0"/>
      <w:divBdr>
        <w:top w:val="none" w:sz="0" w:space="0" w:color="auto"/>
        <w:left w:val="none" w:sz="0" w:space="0" w:color="auto"/>
        <w:bottom w:val="none" w:sz="0" w:space="0" w:color="auto"/>
        <w:right w:val="none" w:sz="0" w:space="0" w:color="auto"/>
      </w:divBdr>
    </w:div>
    <w:div w:id="906453902">
      <w:bodyDiv w:val="1"/>
      <w:marLeft w:val="0"/>
      <w:marRight w:val="0"/>
      <w:marTop w:val="0"/>
      <w:marBottom w:val="0"/>
      <w:divBdr>
        <w:top w:val="none" w:sz="0" w:space="0" w:color="auto"/>
        <w:left w:val="none" w:sz="0" w:space="0" w:color="auto"/>
        <w:bottom w:val="none" w:sz="0" w:space="0" w:color="auto"/>
        <w:right w:val="none" w:sz="0" w:space="0" w:color="auto"/>
      </w:divBdr>
    </w:div>
    <w:div w:id="907151444">
      <w:bodyDiv w:val="1"/>
      <w:marLeft w:val="0"/>
      <w:marRight w:val="0"/>
      <w:marTop w:val="0"/>
      <w:marBottom w:val="0"/>
      <w:divBdr>
        <w:top w:val="none" w:sz="0" w:space="0" w:color="auto"/>
        <w:left w:val="none" w:sz="0" w:space="0" w:color="auto"/>
        <w:bottom w:val="none" w:sz="0" w:space="0" w:color="auto"/>
        <w:right w:val="none" w:sz="0" w:space="0" w:color="auto"/>
      </w:divBdr>
    </w:div>
    <w:div w:id="907225745">
      <w:bodyDiv w:val="1"/>
      <w:marLeft w:val="0"/>
      <w:marRight w:val="0"/>
      <w:marTop w:val="0"/>
      <w:marBottom w:val="0"/>
      <w:divBdr>
        <w:top w:val="none" w:sz="0" w:space="0" w:color="auto"/>
        <w:left w:val="none" w:sz="0" w:space="0" w:color="auto"/>
        <w:bottom w:val="none" w:sz="0" w:space="0" w:color="auto"/>
        <w:right w:val="none" w:sz="0" w:space="0" w:color="auto"/>
      </w:divBdr>
    </w:div>
    <w:div w:id="907571344">
      <w:bodyDiv w:val="1"/>
      <w:marLeft w:val="0"/>
      <w:marRight w:val="0"/>
      <w:marTop w:val="0"/>
      <w:marBottom w:val="0"/>
      <w:divBdr>
        <w:top w:val="none" w:sz="0" w:space="0" w:color="auto"/>
        <w:left w:val="none" w:sz="0" w:space="0" w:color="auto"/>
        <w:bottom w:val="none" w:sz="0" w:space="0" w:color="auto"/>
        <w:right w:val="none" w:sz="0" w:space="0" w:color="auto"/>
      </w:divBdr>
    </w:div>
    <w:div w:id="909847230">
      <w:bodyDiv w:val="1"/>
      <w:marLeft w:val="0"/>
      <w:marRight w:val="0"/>
      <w:marTop w:val="0"/>
      <w:marBottom w:val="0"/>
      <w:divBdr>
        <w:top w:val="none" w:sz="0" w:space="0" w:color="auto"/>
        <w:left w:val="none" w:sz="0" w:space="0" w:color="auto"/>
        <w:bottom w:val="none" w:sz="0" w:space="0" w:color="auto"/>
        <w:right w:val="none" w:sz="0" w:space="0" w:color="auto"/>
      </w:divBdr>
    </w:div>
    <w:div w:id="911893129">
      <w:bodyDiv w:val="1"/>
      <w:marLeft w:val="0"/>
      <w:marRight w:val="0"/>
      <w:marTop w:val="0"/>
      <w:marBottom w:val="0"/>
      <w:divBdr>
        <w:top w:val="none" w:sz="0" w:space="0" w:color="auto"/>
        <w:left w:val="none" w:sz="0" w:space="0" w:color="auto"/>
        <w:bottom w:val="none" w:sz="0" w:space="0" w:color="auto"/>
        <w:right w:val="none" w:sz="0" w:space="0" w:color="auto"/>
      </w:divBdr>
    </w:div>
    <w:div w:id="915356557">
      <w:bodyDiv w:val="1"/>
      <w:marLeft w:val="0"/>
      <w:marRight w:val="0"/>
      <w:marTop w:val="0"/>
      <w:marBottom w:val="0"/>
      <w:divBdr>
        <w:top w:val="none" w:sz="0" w:space="0" w:color="auto"/>
        <w:left w:val="none" w:sz="0" w:space="0" w:color="auto"/>
        <w:bottom w:val="none" w:sz="0" w:space="0" w:color="auto"/>
        <w:right w:val="none" w:sz="0" w:space="0" w:color="auto"/>
      </w:divBdr>
    </w:div>
    <w:div w:id="918247186">
      <w:bodyDiv w:val="1"/>
      <w:marLeft w:val="0"/>
      <w:marRight w:val="0"/>
      <w:marTop w:val="0"/>
      <w:marBottom w:val="0"/>
      <w:divBdr>
        <w:top w:val="none" w:sz="0" w:space="0" w:color="auto"/>
        <w:left w:val="none" w:sz="0" w:space="0" w:color="auto"/>
        <w:bottom w:val="none" w:sz="0" w:space="0" w:color="auto"/>
        <w:right w:val="none" w:sz="0" w:space="0" w:color="auto"/>
      </w:divBdr>
    </w:div>
    <w:div w:id="919483731">
      <w:bodyDiv w:val="1"/>
      <w:marLeft w:val="0"/>
      <w:marRight w:val="0"/>
      <w:marTop w:val="0"/>
      <w:marBottom w:val="0"/>
      <w:divBdr>
        <w:top w:val="none" w:sz="0" w:space="0" w:color="auto"/>
        <w:left w:val="none" w:sz="0" w:space="0" w:color="auto"/>
        <w:bottom w:val="none" w:sz="0" w:space="0" w:color="auto"/>
        <w:right w:val="none" w:sz="0" w:space="0" w:color="auto"/>
      </w:divBdr>
    </w:div>
    <w:div w:id="920867936">
      <w:bodyDiv w:val="1"/>
      <w:marLeft w:val="0"/>
      <w:marRight w:val="0"/>
      <w:marTop w:val="0"/>
      <w:marBottom w:val="0"/>
      <w:divBdr>
        <w:top w:val="none" w:sz="0" w:space="0" w:color="auto"/>
        <w:left w:val="none" w:sz="0" w:space="0" w:color="auto"/>
        <w:bottom w:val="none" w:sz="0" w:space="0" w:color="auto"/>
        <w:right w:val="none" w:sz="0" w:space="0" w:color="auto"/>
      </w:divBdr>
    </w:div>
    <w:div w:id="921987306">
      <w:bodyDiv w:val="1"/>
      <w:marLeft w:val="0"/>
      <w:marRight w:val="0"/>
      <w:marTop w:val="0"/>
      <w:marBottom w:val="0"/>
      <w:divBdr>
        <w:top w:val="none" w:sz="0" w:space="0" w:color="auto"/>
        <w:left w:val="none" w:sz="0" w:space="0" w:color="auto"/>
        <w:bottom w:val="none" w:sz="0" w:space="0" w:color="auto"/>
        <w:right w:val="none" w:sz="0" w:space="0" w:color="auto"/>
      </w:divBdr>
    </w:div>
    <w:div w:id="925501422">
      <w:bodyDiv w:val="1"/>
      <w:marLeft w:val="0"/>
      <w:marRight w:val="0"/>
      <w:marTop w:val="0"/>
      <w:marBottom w:val="0"/>
      <w:divBdr>
        <w:top w:val="none" w:sz="0" w:space="0" w:color="auto"/>
        <w:left w:val="none" w:sz="0" w:space="0" w:color="auto"/>
        <w:bottom w:val="none" w:sz="0" w:space="0" w:color="auto"/>
        <w:right w:val="none" w:sz="0" w:space="0" w:color="auto"/>
      </w:divBdr>
    </w:div>
    <w:div w:id="927737545">
      <w:bodyDiv w:val="1"/>
      <w:marLeft w:val="0"/>
      <w:marRight w:val="0"/>
      <w:marTop w:val="0"/>
      <w:marBottom w:val="0"/>
      <w:divBdr>
        <w:top w:val="none" w:sz="0" w:space="0" w:color="auto"/>
        <w:left w:val="none" w:sz="0" w:space="0" w:color="auto"/>
        <w:bottom w:val="none" w:sz="0" w:space="0" w:color="auto"/>
        <w:right w:val="none" w:sz="0" w:space="0" w:color="auto"/>
      </w:divBdr>
    </w:div>
    <w:div w:id="928929865">
      <w:bodyDiv w:val="1"/>
      <w:marLeft w:val="0"/>
      <w:marRight w:val="0"/>
      <w:marTop w:val="0"/>
      <w:marBottom w:val="0"/>
      <w:divBdr>
        <w:top w:val="none" w:sz="0" w:space="0" w:color="auto"/>
        <w:left w:val="none" w:sz="0" w:space="0" w:color="auto"/>
        <w:bottom w:val="none" w:sz="0" w:space="0" w:color="auto"/>
        <w:right w:val="none" w:sz="0" w:space="0" w:color="auto"/>
      </w:divBdr>
    </w:div>
    <w:div w:id="929704023">
      <w:bodyDiv w:val="1"/>
      <w:marLeft w:val="0"/>
      <w:marRight w:val="0"/>
      <w:marTop w:val="0"/>
      <w:marBottom w:val="0"/>
      <w:divBdr>
        <w:top w:val="none" w:sz="0" w:space="0" w:color="auto"/>
        <w:left w:val="none" w:sz="0" w:space="0" w:color="auto"/>
        <w:bottom w:val="none" w:sz="0" w:space="0" w:color="auto"/>
        <w:right w:val="none" w:sz="0" w:space="0" w:color="auto"/>
      </w:divBdr>
    </w:div>
    <w:div w:id="931158672">
      <w:bodyDiv w:val="1"/>
      <w:marLeft w:val="0"/>
      <w:marRight w:val="0"/>
      <w:marTop w:val="0"/>
      <w:marBottom w:val="0"/>
      <w:divBdr>
        <w:top w:val="none" w:sz="0" w:space="0" w:color="auto"/>
        <w:left w:val="none" w:sz="0" w:space="0" w:color="auto"/>
        <w:bottom w:val="none" w:sz="0" w:space="0" w:color="auto"/>
        <w:right w:val="none" w:sz="0" w:space="0" w:color="auto"/>
      </w:divBdr>
    </w:div>
    <w:div w:id="932275310">
      <w:bodyDiv w:val="1"/>
      <w:marLeft w:val="0"/>
      <w:marRight w:val="0"/>
      <w:marTop w:val="0"/>
      <w:marBottom w:val="0"/>
      <w:divBdr>
        <w:top w:val="none" w:sz="0" w:space="0" w:color="auto"/>
        <w:left w:val="none" w:sz="0" w:space="0" w:color="auto"/>
        <w:bottom w:val="none" w:sz="0" w:space="0" w:color="auto"/>
        <w:right w:val="none" w:sz="0" w:space="0" w:color="auto"/>
      </w:divBdr>
    </w:div>
    <w:div w:id="932973008">
      <w:bodyDiv w:val="1"/>
      <w:marLeft w:val="0"/>
      <w:marRight w:val="0"/>
      <w:marTop w:val="0"/>
      <w:marBottom w:val="0"/>
      <w:divBdr>
        <w:top w:val="none" w:sz="0" w:space="0" w:color="auto"/>
        <w:left w:val="none" w:sz="0" w:space="0" w:color="auto"/>
        <w:bottom w:val="none" w:sz="0" w:space="0" w:color="auto"/>
        <w:right w:val="none" w:sz="0" w:space="0" w:color="auto"/>
      </w:divBdr>
    </w:div>
    <w:div w:id="936136805">
      <w:bodyDiv w:val="1"/>
      <w:marLeft w:val="0"/>
      <w:marRight w:val="0"/>
      <w:marTop w:val="0"/>
      <w:marBottom w:val="0"/>
      <w:divBdr>
        <w:top w:val="none" w:sz="0" w:space="0" w:color="auto"/>
        <w:left w:val="none" w:sz="0" w:space="0" w:color="auto"/>
        <w:bottom w:val="none" w:sz="0" w:space="0" w:color="auto"/>
        <w:right w:val="none" w:sz="0" w:space="0" w:color="auto"/>
      </w:divBdr>
    </w:div>
    <w:div w:id="936182152">
      <w:bodyDiv w:val="1"/>
      <w:marLeft w:val="0"/>
      <w:marRight w:val="0"/>
      <w:marTop w:val="0"/>
      <w:marBottom w:val="0"/>
      <w:divBdr>
        <w:top w:val="none" w:sz="0" w:space="0" w:color="auto"/>
        <w:left w:val="none" w:sz="0" w:space="0" w:color="auto"/>
        <w:bottom w:val="none" w:sz="0" w:space="0" w:color="auto"/>
        <w:right w:val="none" w:sz="0" w:space="0" w:color="auto"/>
      </w:divBdr>
    </w:div>
    <w:div w:id="936255336">
      <w:bodyDiv w:val="1"/>
      <w:marLeft w:val="0"/>
      <w:marRight w:val="0"/>
      <w:marTop w:val="0"/>
      <w:marBottom w:val="0"/>
      <w:divBdr>
        <w:top w:val="none" w:sz="0" w:space="0" w:color="auto"/>
        <w:left w:val="none" w:sz="0" w:space="0" w:color="auto"/>
        <w:bottom w:val="none" w:sz="0" w:space="0" w:color="auto"/>
        <w:right w:val="none" w:sz="0" w:space="0" w:color="auto"/>
      </w:divBdr>
    </w:div>
    <w:div w:id="936794176">
      <w:bodyDiv w:val="1"/>
      <w:marLeft w:val="0"/>
      <w:marRight w:val="0"/>
      <w:marTop w:val="0"/>
      <w:marBottom w:val="0"/>
      <w:divBdr>
        <w:top w:val="none" w:sz="0" w:space="0" w:color="auto"/>
        <w:left w:val="none" w:sz="0" w:space="0" w:color="auto"/>
        <w:bottom w:val="none" w:sz="0" w:space="0" w:color="auto"/>
        <w:right w:val="none" w:sz="0" w:space="0" w:color="auto"/>
      </w:divBdr>
    </w:div>
    <w:div w:id="937176310">
      <w:bodyDiv w:val="1"/>
      <w:marLeft w:val="0"/>
      <w:marRight w:val="0"/>
      <w:marTop w:val="0"/>
      <w:marBottom w:val="0"/>
      <w:divBdr>
        <w:top w:val="none" w:sz="0" w:space="0" w:color="auto"/>
        <w:left w:val="none" w:sz="0" w:space="0" w:color="auto"/>
        <w:bottom w:val="none" w:sz="0" w:space="0" w:color="auto"/>
        <w:right w:val="none" w:sz="0" w:space="0" w:color="auto"/>
      </w:divBdr>
    </w:div>
    <w:div w:id="937296977">
      <w:bodyDiv w:val="1"/>
      <w:marLeft w:val="0"/>
      <w:marRight w:val="0"/>
      <w:marTop w:val="0"/>
      <w:marBottom w:val="0"/>
      <w:divBdr>
        <w:top w:val="none" w:sz="0" w:space="0" w:color="auto"/>
        <w:left w:val="none" w:sz="0" w:space="0" w:color="auto"/>
        <w:bottom w:val="none" w:sz="0" w:space="0" w:color="auto"/>
        <w:right w:val="none" w:sz="0" w:space="0" w:color="auto"/>
      </w:divBdr>
    </w:div>
    <w:div w:id="937522534">
      <w:bodyDiv w:val="1"/>
      <w:marLeft w:val="0"/>
      <w:marRight w:val="0"/>
      <w:marTop w:val="0"/>
      <w:marBottom w:val="0"/>
      <w:divBdr>
        <w:top w:val="none" w:sz="0" w:space="0" w:color="auto"/>
        <w:left w:val="none" w:sz="0" w:space="0" w:color="auto"/>
        <w:bottom w:val="none" w:sz="0" w:space="0" w:color="auto"/>
        <w:right w:val="none" w:sz="0" w:space="0" w:color="auto"/>
      </w:divBdr>
    </w:div>
    <w:div w:id="937713408">
      <w:bodyDiv w:val="1"/>
      <w:marLeft w:val="0"/>
      <w:marRight w:val="0"/>
      <w:marTop w:val="0"/>
      <w:marBottom w:val="0"/>
      <w:divBdr>
        <w:top w:val="none" w:sz="0" w:space="0" w:color="auto"/>
        <w:left w:val="none" w:sz="0" w:space="0" w:color="auto"/>
        <w:bottom w:val="none" w:sz="0" w:space="0" w:color="auto"/>
        <w:right w:val="none" w:sz="0" w:space="0" w:color="auto"/>
      </w:divBdr>
    </w:div>
    <w:div w:id="939483548">
      <w:bodyDiv w:val="1"/>
      <w:marLeft w:val="0"/>
      <w:marRight w:val="0"/>
      <w:marTop w:val="0"/>
      <w:marBottom w:val="0"/>
      <w:divBdr>
        <w:top w:val="none" w:sz="0" w:space="0" w:color="auto"/>
        <w:left w:val="none" w:sz="0" w:space="0" w:color="auto"/>
        <w:bottom w:val="none" w:sz="0" w:space="0" w:color="auto"/>
        <w:right w:val="none" w:sz="0" w:space="0" w:color="auto"/>
      </w:divBdr>
    </w:div>
    <w:div w:id="939682189">
      <w:bodyDiv w:val="1"/>
      <w:marLeft w:val="0"/>
      <w:marRight w:val="0"/>
      <w:marTop w:val="0"/>
      <w:marBottom w:val="0"/>
      <w:divBdr>
        <w:top w:val="none" w:sz="0" w:space="0" w:color="auto"/>
        <w:left w:val="none" w:sz="0" w:space="0" w:color="auto"/>
        <w:bottom w:val="none" w:sz="0" w:space="0" w:color="auto"/>
        <w:right w:val="none" w:sz="0" w:space="0" w:color="auto"/>
      </w:divBdr>
    </w:div>
    <w:div w:id="943927901">
      <w:bodyDiv w:val="1"/>
      <w:marLeft w:val="0"/>
      <w:marRight w:val="0"/>
      <w:marTop w:val="0"/>
      <w:marBottom w:val="0"/>
      <w:divBdr>
        <w:top w:val="none" w:sz="0" w:space="0" w:color="auto"/>
        <w:left w:val="none" w:sz="0" w:space="0" w:color="auto"/>
        <w:bottom w:val="none" w:sz="0" w:space="0" w:color="auto"/>
        <w:right w:val="none" w:sz="0" w:space="0" w:color="auto"/>
      </w:divBdr>
    </w:div>
    <w:div w:id="943994341">
      <w:bodyDiv w:val="1"/>
      <w:marLeft w:val="0"/>
      <w:marRight w:val="0"/>
      <w:marTop w:val="0"/>
      <w:marBottom w:val="0"/>
      <w:divBdr>
        <w:top w:val="none" w:sz="0" w:space="0" w:color="auto"/>
        <w:left w:val="none" w:sz="0" w:space="0" w:color="auto"/>
        <w:bottom w:val="none" w:sz="0" w:space="0" w:color="auto"/>
        <w:right w:val="none" w:sz="0" w:space="0" w:color="auto"/>
      </w:divBdr>
    </w:div>
    <w:div w:id="945499567">
      <w:bodyDiv w:val="1"/>
      <w:marLeft w:val="0"/>
      <w:marRight w:val="0"/>
      <w:marTop w:val="0"/>
      <w:marBottom w:val="0"/>
      <w:divBdr>
        <w:top w:val="none" w:sz="0" w:space="0" w:color="auto"/>
        <w:left w:val="none" w:sz="0" w:space="0" w:color="auto"/>
        <w:bottom w:val="none" w:sz="0" w:space="0" w:color="auto"/>
        <w:right w:val="none" w:sz="0" w:space="0" w:color="auto"/>
      </w:divBdr>
    </w:div>
    <w:div w:id="946275785">
      <w:bodyDiv w:val="1"/>
      <w:marLeft w:val="0"/>
      <w:marRight w:val="0"/>
      <w:marTop w:val="0"/>
      <w:marBottom w:val="0"/>
      <w:divBdr>
        <w:top w:val="none" w:sz="0" w:space="0" w:color="auto"/>
        <w:left w:val="none" w:sz="0" w:space="0" w:color="auto"/>
        <w:bottom w:val="none" w:sz="0" w:space="0" w:color="auto"/>
        <w:right w:val="none" w:sz="0" w:space="0" w:color="auto"/>
      </w:divBdr>
    </w:div>
    <w:div w:id="946503103">
      <w:bodyDiv w:val="1"/>
      <w:marLeft w:val="0"/>
      <w:marRight w:val="0"/>
      <w:marTop w:val="0"/>
      <w:marBottom w:val="0"/>
      <w:divBdr>
        <w:top w:val="none" w:sz="0" w:space="0" w:color="auto"/>
        <w:left w:val="none" w:sz="0" w:space="0" w:color="auto"/>
        <w:bottom w:val="none" w:sz="0" w:space="0" w:color="auto"/>
        <w:right w:val="none" w:sz="0" w:space="0" w:color="auto"/>
      </w:divBdr>
    </w:div>
    <w:div w:id="949430633">
      <w:bodyDiv w:val="1"/>
      <w:marLeft w:val="0"/>
      <w:marRight w:val="0"/>
      <w:marTop w:val="0"/>
      <w:marBottom w:val="0"/>
      <w:divBdr>
        <w:top w:val="none" w:sz="0" w:space="0" w:color="auto"/>
        <w:left w:val="none" w:sz="0" w:space="0" w:color="auto"/>
        <w:bottom w:val="none" w:sz="0" w:space="0" w:color="auto"/>
        <w:right w:val="none" w:sz="0" w:space="0" w:color="auto"/>
      </w:divBdr>
    </w:div>
    <w:div w:id="950090613">
      <w:bodyDiv w:val="1"/>
      <w:marLeft w:val="0"/>
      <w:marRight w:val="0"/>
      <w:marTop w:val="0"/>
      <w:marBottom w:val="0"/>
      <w:divBdr>
        <w:top w:val="none" w:sz="0" w:space="0" w:color="auto"/>
        <w:left w:val="none" w:sz="0" w:space="0" w:color="auto"/>
        <w:bottom w:val="none" w:sz="0" w:space="0" w:color="auto"/>
        <w:right w:val="none" w:sz="0" w:space="0" w:color="auto"/>
      </w:divBdr>
    </w:div>
    <w:div w:id="950668003">
      <w:bodyDiv w:val="1"/>
      <w:marLeft w:val="0"/>
      <w:marRight w:val="0"/>
      <w:marTop w:val="0"/>
      <w:marBottom w:val="0"/>
      <w:divBdr>
        <w:top w:val="none" w:sz="0" w:space="0" w:color="auto"/>
        <w:left w:val="none" w:sz="0" w:space="0" w:color="auto"/>
        <w:bottom w:val="none" w:sz="0" w:space="0" w:color="auto"/>
        <w:right w:val="none" w:sz="0" w:space="0" w:color="auto"/>
      </w:divBdr>
    </w:div>
    <w:div w:id="952639260">
      <w:bodyDiv w:val="1"/>
      <w:marLeft w:val="0"/>
      <w:marRight w:val="0"/>
      <w:marTop w:val="0"/>
      <w:marBottom w:val="0"/>
      <w:divBdr>
        <w:top w:val="none" w:sz="0" w:space="0" w:color="auto"/>
        <w:left w:val="none" w:sz="0" w:space="0" w:color="auto"/>
        <w:bottom w:val="none" w:sz="0" w:space="0" w:color="auto"/>
        <w:right w:val="none" w:sz="0" w:space="0" w:color="auto"/>
      </w:divBdr>
    </w:div>
    <w:div w:id="953708098">
      <w:bodyDiv w:val="1"/>
      <w:marLeft w:val="0"/>
      <w:marRight w:val="0"/>
      <w:marTop w:val="0"/>
      <w:marBottom w:val="0"/>
      <w:divBdr>
        <w:top w:val="none" w:sz="0" w:space="0" w:color="auto"/>
        <w:left w:val="none" w:sz="0" w:space="0" w:color="auto"/>
        <w:bottom w:val="none" w:sz="0" w:space="0" w:color="auto"/>
        <w:right w:val="none" w:sz="0" w:space="0" w:color="auto"/>
      </w:divBdr>
    </w:div>
    <w:div w:id="953943817">
      <w:bodyDiv w:val="1"/>
      <w:marLeft w:val="0"/>
      <w:marRight w:val="0"/>
      <w:marTop w:val="0"/>
      <w:marBottom w:val="0"/>
      <w:divBdr>
        <w:top w:val="none" w:sz="0" w:space="0" w:color="auto"/>
        <w:left w:val="none" w:sz="0" w:space="0" w:color="auto"/>
        <w:bottom w:val="none" w:sz="0" w:space="0" w:color="auto"/>
        <w:right w:val="none" w:sz="0" w:space="0" w:color="auto"/>
      </w:divBdr>
    </w:div>
    <w:div w:id="954677362">
      <w:bodyDiv w:val="1"/>
      <w:marLeft w:val="0"/>
      <w:marRight w:val="0"/>
      <w:marTop w:val="0"/>
      <w:marBottom w:val="0"/>
      <w:divBdr>
        <w:top w:val="none" w:sz="0" w:space="0" w:color="auto"/>
        <w:left w:val="none" w:sz="0" w:space="0" w:color="auto"/>
        <w:bottom w:val="none" w:sz="0" w:space="0" w:color="auto"/>
        <w:right w:val="none" w:sz="0" w:space="0" w:color="auto"/>
      </w:divBdr>
    </w:div>
    <w:div w:id="954873887">
      <w:bodyDiv w:val="1"/>
      <w:marLeft w:val="0"/>
      <w:marRight w:val="0"/>
      <w:marTop w:val="0"/>
      <w:marBottom w:val="0"/>
      <w:divBdr>
        <w:top w:val="none" w:sz="0" w:space="0" w:color="auto"/>
        <w:left w:val="none" w:sz="0" w:space="0" w:color="auto"/>
        <w:bottom w:val="none" w:sz="0" w:space="0" w:color="auto"/>
        <w:right w:val="none" w:sz="0" w:space="0" w:color="auto"/>
      </w:divBdr>
    </w:div>
    <w:div w:id="956063713">
      <w:bodyDiv w:val="1"/>
      <w:marLeft w:val="0"/>
      <w:marRight w:val="0"/>
      <w:marTop w:val="0"/>
      <w:marBottom w:val="0"/>
      <w:divBdr>
        <w:top w:val="none" w:sz="0" w:space="0" w:color="auto"/>
        <w:left w:val="none" w:sz="0" w:space="0" w:color="auto"/>
        <w:bottom w:val="none" w:sz="0" w:space="0" w:color="auto"/>
        <w:right w:val="none" w:sz="0" w:space="0" w:color="auto"/>
      </w:divBdr>
    </w:div>
    <w:div w:id="959804321">
      <w:bodyDiv w:val="1"/>
      <w:marLeft w:val="0"/>
      <w:marRight w:val="0"/>
      <w:marTop w:val="0"/>
      <w:marBottom w:val="0"/>
      <w:divBdr>
        <w:top w:val="none" w:sz="0" w:space="0" w:color="auto"/>
        <w:left w:val="none" w:sz="0" w:space="0" w:color="auto"/>
        <w:bottom w:val="none" w:sz="0" w:space="0" w:color="auto"/>
        <w:right w:val="none" w:sz="0" w:space="0" w:color="auto"/>
      </w:divBdr>
    </w:div>
    <w:div w:id="961229586">
      <w:bodyDiv w:val="1"/>
      <w:marLeft w:val="0"/>
      <w:marRight w:val="0"/>
      <w:marTop w:val="0"/>
      <w:marBottom w:val="0"/>
      <w:divBdr>
        <w:top w:val="none" w:sz="0" w:space="0" w:color="auto"/>
        <w:left w:val="none" w:sz="0" w:space="0" w:color="auto"/>
        <w:bottom w:val="none" w:sz="0" w:space="0" w:color="auto"/>
        <w:right w:val="none" w:sz="0" w:space="0" w:color="auto"/>
      </w:divBdr>
    </w:div>
    <w:div w:id="962272590">
      <w:bodyDiv w:val="1"/>
      <w:marLeft w:val="0"/>
      <w:marRight w:val="0"/>
      <w:marTop w:val="0"/>
      <w:marBottom w:val="0"/>
      <w:divBdr>
        <w:top w:val="none" w:sz="0" w:space="0" w:color="auto"/>
        <w:left w:val="none" w:sz="0" w:space="0" w:color="auto"/>
        <w:bottom w:val="none" w:sz="0" w:space="0" w:color="auto"/>
        <w:right w:val="none" w:sz="0" w:space="0" w:color="auto"/>
      </w:divBdr>
    </w:div>
    <w:div w:id="962422640">
      <w:bodyDiv w:val="1"/>
      <w:marLeft w:val="0"/>
      <w:marRight w:val="0"/>
      <w:marTop w:val="0"/>
      <w:marBottom w:val="0"/>
      <w:divBdr>
        <w:top w:val="none" w:sz="0" w:space="0" w:color="auto"/>
        <w:left w:val="none" w:sz="0" w:space="0" w:color="auto"/>
        <w:bottom w:val="none" w:sz="0" w:space="0" w:color="auto"/>
        <w:right w:val="none" w:sz="0" w:space="0" w:color="auto"/>
      </w:divBdr>
    </w:div>
    <w:div w:id="962930706">
      <w:bodyDiv w:val="1"/>
      <w:marLeft w:val="0"/>
      <w:marRight w:val="0"/>
      <w:marTop w:val="0"/>
      <w:marBottom w:val="0"/>
      <w:divBdr>
        <w:top w:val="none" w:sz="0" w:space="0" w:color="auto"/>
        <w:left w:val="none" w:sz="0" w:space="0" w:color="auto"/>
        <w:bottom w:val="none" w:sz="0" w:space="0" w:color="auto"/>
        <w:right w:val="none" w:sz="0" w:space="0" w:color="auto"/>
      </w:divBdr>
    </w:div>
    <w:div w:id="963385192">
      <w:bodyDiv w:val="1"/>
      <w:marLeft w:val="0"/>
      <w:marRight w:val="0"/>
      <w:marTop w:val="0"/>
      <w:marBottom w:val="0"/>
      <w:divBdr>
        <w:top w:val="none" w:sz="0" w:space="0" w:color="auto"/>
        <w:left w:val="none" w:sz="0" w:space="0" w:color="auto"/>
        <w:bottom w:val="none" w:sz="0" w:space="0" w:color="auto"/>
        <w:right w:val="none" w:sz="0" w:space="0" w:color="auto"/>
      </w:divBdr>
    </w:div>
    <w:div w:id="963462606">
      <w:bodyDiv w:val="1"/>
      <w:marLeft w:val="0"/>
      <w:marRight w:val="0"/>
      <w:marTop w:val="0"/>
      <w:marBottom w:val="0"/>
      <w:divBdr>
        <w:top w:val="none" w:sz="0" w:space="0" w:color="auto"/>
        <w:left w:val="none" w:sz="0" w:space="0" w:color="auto"/>
        <w:bottom w:val="none" w:sz="0" w:space="0" w:color="auto"/>
        <w:right w:val="none" w:sz="0" w:space="0" w:color="auto"/>
      </w:divBdr>
    </w:div>
    <w:div w:id="964888371">
      <w:bodyDiv w:val="1"/>
      <w:marLeft w:val="0"/>
      <w:marRight w:val="0"/>
      <w:marTop w:val="0"/>
      <w:marBottom w:val="0"/>
      <w:divBdr>
        <w:top w:val="none" w:sz="0" w:space="0" w:color="auto"/>
        <w:left w:val="none" w:sz="0" w:space="0" w:color="auto"/>
        <w:bottom w:val="none" w:sz="0" w:space="0" w:color="auto"/>
        <w:right w:val="none" w:sz="0" w:space="0" w:color="auto"/>
      </w:divBdr>
    </w:div>
    <w:div w:id="965239883">
      <w:bodyDiv w:val="1"/>
      <w:marLeft w:val="0"/>
      <w:marRight w:val="0"/>
      <w:marTop w:val="0"/>
      <w:marBottom w:val="0"/>
      <w:divBdr>
        <w:top w:val="none" w:sz="0" w:space="0" w:color="auto"/>
        <w:left w:val="none" w:sz="0" w:space="0" w:color="auto"/>
        <w:bottom w:val="none" w:sz="0" w:space="0" w:color="auto"/>
        <w:right w:val="none" w:sz="0" w:space="0" w:color="auto"/>
      </w:divBdr>
    </w:div>
    <w:div w:id="969821638">
      <w:bodyDiv w:val="1"/>
      <w:marLeft w:val="0"/>
      <w:marRight w:val="0"/>
      <w:marTop w:val="0"/>
      <w:marBottom w:val="0"/>
      <w:divBdr>
        <w:top w:val="none" w:sz="0" w:space="0" w:color="auto"/>
        <w:left w:val="none" w:sz="0" w:space="0" w:color="auto"/>
        <w:bottom w:val="none" w:sz="0" w:space="0" w:color="auto"/>
        <w:right w:val="none" w:sz="0" w:space="0" w:color="auto"/>
      </w:divBdr>
    </w:div>
    <w:div w:id="973481336">
      <w:bodyDiv w:val="1"/>
      <w:marLeft w:val="0"/>
      <w:marRight w:val="0"/>
      <w:marTop w:val="0"/>
      <w:marBottom w:val="0"/>
      <w:divBdr>
        <w:top w:val="none" w:sz="0" w:space="0" w:color="auto"/>
        <w:left w:val="none" w:sz="0" w:space="0" w:color="auto"/>
        <w:bottom w:val="none" w:sz="0" w:space="0" w:color="auto"/>
        <w:right w:val="none" w:sz="0" w:space="0" w:color="auto"/>
      </w:divBdr>
    </w:div>
    <w:div w:id="980572285">
      <w:bodyDiv w:val="1"/>
      <w:marLeft w:val="0"/>
      <w:marRight w:val="0"/>
      <w:marTop w:val="0"/>
      <w:marBottom w:val="0"/>
      <w:divBdr>
        <w:top w:val="none" w:sz="0" w:space="0" w:color="auto"/>
        <w:left w:val="none" w:sz="0" w:space="0" w:color="auto"/>
        <w:bottom w:val="none" w:sz="0" w:space="0" w:color="auto"/>
        <w:right w:val="none" w:sz="0" w:space="0" w:color="auto"/>
      </w:divBdr>
    </w:div>
    <w:div w:id="981814042">
      <w:bodyDiv w:val="1"/>
      <w:marLeft w:val="0"/>
      <w:marRight w:val="0"/>
      <w:marTop w:val="0"/>
      <w:marBottom w:val="0"/>
      <w:divBdr>
        <w:top w:val="none" w:sz="0" w:space="0" w:color="auto"/>
        <w:left w:val="none" w:sz="0" w:space="0" w:color="auto"/>
        <w:bottom w:val="none" w:sz="0" w:space="0" w:color="auto"/>
        <w:right w:val="none" w:sz="0" w:space="0" w:color="auto"/>
      </w:divBdr>
    </w:div>
    <w:div w:id="988821407">
      <w:bodyDiv w:val="1"/>
      <w:marLeft w:val="0"/>
      <w:marRight w:val="0"/>
      <w:marTop w:val="0"/>
      <w:marBottom w:val="0"/>
      <w:divBdr>
        <w:top w:val="none" w:sz="0" w:space="0" w:color="auto"/>
        <w:left w:val="none" w:sz="0" w:space="0" w:color="auto"/>
        <w:bottom w:val="none" w:sz="0" w:space="0" w:color="auto"/>
        <w:right w:val="none" w:sz="0" w:space="0" w:color="auto"/>
      </w:divBdr>
    </w:div>
    <w:div w:id="991103126">
      <w:bodyDiv w:val="1"/>
      <w:marLeft w:val="0"/>
      <w:marRight w:val="0"/>
      <w:marTop w:val="0"/>
      <w:marBottom w:val="0"/>
      <w:divBdr>
        <w:top w:val="none" w:sz="0" w:space="0" w:color="auto"/>
        <w:left w:val="none" w:sz="0" w:space="0" w:color="auto"/>
        <w:bottom w:val="none" w:sz="0" w:space="0" w:color="auto"/>
        <w:right w:val="none" w:sz="0" w:space="0" w:color="auto"/>
      </w:divBdr>
    </w:div>
    <w:div w:id="991445276">
      <w:bodyDiv w:val="1"/>
      <w:marLeft w:val="0"/>
      <w:marRight w:val="0"/>
      <w:marTop w:val="0"/>
      <w:marBottom w:val="0"/>
      <w:divBdr>
        <w:top w:val="none" w:sz="0" w:space="0" w:color="auto"/>
        <w:left w:val="none" w:sz="0" w:space="0" w:color="auto"/>
        <w:bottom w:val="none" w:sz="0" w:space="0" w:color="auto"/>
        <w:right w:val="none" w:sz="0" w:space="0" w:color="auto"/>
      </w:divBdr>
    </w:div>
    <w:div w:id="994186000">
      <w:bodyDiv w:val="1"/>
      <w:marLeft w:val="0"/>
      <w:marRight w:val="0"/>
      <w:marTop w:val="0"/>
      <w:marBottom w:val="0"/>
      <w:divBdr>
        <w:top w:val="none" w:sz="0" w:space="0" w:color="auto"/>
        <w:left w:val="none" w:sz="0" w:space="0" w:color="auto"/>
        <w:bottom w:val="none" w:sz="0" w:space="0" w:color="auto"/>
        <w:right w:val="none" w:sz="0" w:space="0" w:color="auto"/>
      </w:divBdr>
    </w:div>
    <w:div w:id="995374051">
      <w:bodyDiv w:val="1"/>
      <w:marLeft w:val="0"/>
      <w:marRight w:val="0"/>
      <w:marTop w:val="0"/>
      <w:marBottom w:val="0"/>
      <w:divBdr>
        <w:top w:val="none" w:sz="0" w:space="0" w:color="auto"/>
        <w:left w:val="none" w:sz="0" w:space="0" w:color="auto"/>
        <w:bottom w:val="none" w:sz="0" w:space="0" w:color="auto"/>
        <w:right w:val="none" w:sz="0" w:space="0" w:color="auto"/>
      </w:divBdr>
    </w:div>
    <w:div w:id="997995977">
      <w:bodyDiv w:val="1"/>
      <w:marLeft w:val="0"/>
      <w:marRight w:val="0"/>
      <w:marTop w:val="0"/>
      <w:marBottom w:val="0"/>
      <w:divBdr>
        <w:top w:val="none" w:sz="0" w:space="0" w:color="auto"/>
        <w:left w:val="none" w:sz="0" w:space="0" w:color="auto"/>
        <w:bottom w:val="none" w:sz="0" w:space="0" w:color="auto"/>
        <w:right w:val="none" w:sz="0" w:space="0" w:color="auto"/>
      </w:divBdr>
    </w:div>
    <w:div w:id="1002853550">
      <w:bodyDiv w:val="1"/>
      <w:marLeft w:val="0"/>
      <w:marRight w:val="0"/>
      <w:marTop w:val="0"/>
      <w:marBottom w:val="0"/>
      <w:divBdr>
        <w:top w:val="none" w:sz="0" w:space="0" w:color="auto"/>
        <w:left w:val="none" w:sz="0" w:space="0" w:color="auto"/>
        <w:bottom w:val="none" w:sz="0" w:space="0" w:color="auto"/>
        <w:right w:val="none" w:sz="0" w:space="0" w:color="auto"/>
      </w:divBdr>
    </w:div>
    <w:div w:id="1006177898">
      <w:bodyDiv w:val="1"/>
      <w:marLeft w:val="0"/>
      <w:marRight w:val="0"/>
      <w:marTop w:val="0"/>
      <w:marBottom w:val="0"/>
      <w:divBdr>
        <w:top w:val="none" w:sz="0" w:space="0" w:color="auto"/>
        <w:left w:val="none" w:sz="0" w:space="0" w:color="auto"/>
        <w:bottom w:val="none" w:sz="0" w:space="0" w:color="auto"/>
        <w:right w:val="none" w:sz="0" w:space="0" w:color="auto"/>
      </w:divBdr>
    </w:div>
    <w:div w:id="1006980896">
      <w:bodyDiv w:val="1"/>
      <w:marLeft w:val="0"/>
      <w:marRight w:val="0"/>
      <w:marTop w:val="0"/>
      <w:marBottom w:val="0"/>
      <w:divBdr>
        <w:top w:val="none" w:sz="0" w:space="0" w:color="auto"/>
        <w:left w:val="none" w:sz="0" w:space="0" w:color="auto"/>
        <w:bottom w:val="none" w:sz="0" w:space="0" w:color="auto"/>
        <w:right w:val="none" w:sz="0" w:space="0" w:color="auto"/>
      </w:divBdr>
    </w:div>
    <w:div w:id="1008100582">
      <w:bodyDiv w:val="1"/>
      <w:marLeft w:val="0"/>
      <w:marRight w:val="0"/>
      <w:marTop w:val="0"/>
      <w:marBottom w:val="0"/>
      <w:divBdr>
        <w:top w:val="none" w:sz="0" w:space="0" w:color="auto"/>
        <w:left w:val="none" w:sz="0" w:space="0" w:color="auto"/>
        <w:bottom w:val="none" w:sz="0" w:space="0" w:color="auto"/>
        <w:right w:val="none" w:sz="0" w:space="0" w:color="auto"/>
      </w:divBdr>
    </w:div>
    <w:div w:id="1012026310">
      <w:bodyDiv w:val="1"/>
      <w:marLeft w:val="0"/>
      <w:marRight w:val="0"/>
      <w:marTop w:val="0"/>
      <w:marBottom w:val="0"/>
      <w:divBdr>
        <w:top w:val="none" w:sz="0" w:space="0" w:color="auto"/>
        <w:left w:val="none" w:sz="0" w:space="0" w:color="auto"/>
        <w:bottom w:val="none" w:sz="0" w:space="0" w:color="auto"/>
        <w:right w:val="none" w:sz="0" w:space="0" w:color="auto"/>
      </w:divBdr>
    </w:div>
    <w:div w:id="1012608840">
      <w:bodyDiv w:val="1"/>
      <w:marLeft w:val="0"/>
      <w:marRight w:val="0"/>
      <w:marTop w:val="0"/>
      <w:marBottom w:val="0"/>
      <w:divBdr>
        <w:top w:val="none" w:sz="0" w:space="0" w:color="auto"/>
        <w:left w:val="none" w:sz="0" w:space="0" w:color="auto"/>
        <w:bottom w:val="none" w:sz="0" w:space="0" w:color="auto"/>
        <w:right w:val="none" w:sz="0" w:space="0" w:color="auto"/>
      </w:divBdr>
    </w:div>
    <w:div w:id="1013337727">
      <w:bodyDiv w:val="1"/>
      <w:marLeft w:val="0"/>
      <w:marRight w:val="0"/>
      <w:marTop w:val="0"/>
      <w:marBottom w:val="0"/>
      <w:divBdr>
        <w:top w:val="none" w:sz="0" w:space="0" w:color="auto"/>
        <w:left w:val="none" w:sz="0" w:space="0" w:color="auto"/>
        <w:bottom w:val="none" w:sz="0" w:space="0" w:color="auto"/>
        <w:right w:val="none" w:sz="0" w:space="0" w:color="auto"/>
      </w:divBdr>
    </w:div>
    <w:div w:id="1013801630">
      <w:bodyDiv w:val="1"/>
      <w:marLeft w:val="0"/>
      <w:marRight w:val="0"/>
      <w:marTop w:val="0"/>
      <w:marBottom w:val="0"/>
      <w:divBdr>
        <w:top w:val="none" w:sz="0" w:space="0" w:color="auto"/>
        <w:left w:val="none" w:sz="0" w:space="0" w:color="auto"/>
        <w:bottom w:val="none" w:sz="0" w:space="0" w:color="auto"/>
        <w:right w:val="none" w:sz="0" w:space="0" w:color="auto"/>
      </w:divBdr>
    </w:div>
    <w:div w:id="1015234165">
      <w:bodyDiv w:val="1"/>
      <w:marLeft w:val="0"/>
      <w:marRight w:val="0"/>
      <w:marTop w:val="0"/>
      <w:marBottom w:val="0"/>
      <w:divBdr>
        <w:top w:val="none" w:sz="0" w:space="0" w:color="auto"/>
        <w:left w:val="none" w:sz="0" w:space="0" w:color="auto"/>
        <w:bottom w:val="none" w:sz="0" w:space="0" w:color="auto"/>
        <w:right w:val="none" w:sz="0" w:space="0" w:color="auto"/>
      </w:divBdr>
    </w:div>
    <w:div w:id="1016612753">
      <w:bodyDiv w:val="1"/>
      <w:marLeft w:val="0"/>
      <w:marRight w:val="0"/>
      <w:marTop w:val="0"/>
      <w:marBottom w:val="0"/>
      <w:divBdr>
        <w:top w:val="none" w:sz="0" w:space="0" w:color="auto"/>
        <w:left w:val="none" w:sz="0" w:space="0" w:color="auto"/>
        <w:bottom w:val="none" w:sz="0" w:space="0" w:color="auto"/>
        <w:right w:val="none" w:sz="0" w:space="0" w:color="auto"/>
      </w:divBdr>
    </w:div>
    <w:div w:id="1016660357">
      <w:bodyDiv w:val="1"/>
      <w:marLeft w:val="0"/>
      <w:marRight w:val="0"/>
      <w:marTop w:val="0"/>
      <w:marBottom w:val="0"/>
      <w:divBdr>
        <w:top w:val="none" w:sz="0" w:space="0" w:color="auto"/>
        <w:left w:val="none" w:sz="0" w:space="0" w:color="auto"/>
        <w:bottom w:val="none" w:sz="0" w:space="0" w:color="auto"/>
        <w:right w:val="none" w:sz="0" w:space="0" w:color="auto"/>
      </w:divBdr>
    </w:div>
    <w:div w:id="1018116460">
      <w:bodyDiv w:val="1"/>
      <w:marLeft w:val="0"/>
      <w:marRight w:val="0"/>
      <w:marTop w:val="0"/>
      <w:marBottom w:val="0"/>
      <w:divBdr>
        <w:top w:val="none" w:sz="0" w:space="0" w:color="auto"/>
        <w:left w:val="none" w:sz="0" w:space="0" w:color="auto"/>
        <w:bottom w:val="none" w:sz="0" w:space="0" w:color="auto"/>
        <w:right w:val="none" w:sz="0" w:space="0" w:color="auto"/>
      </w:divBdr>
    </w:div>
    <w:div w:id="1020542823">
      <w:bodyDiv w:val="1"/>
      <w:marLeft w:val="0"/>
      <w:marRight w:val="0"/>
      <w:marTop w:val="0"/>
      <w:marBottom w:val="0"/>
      <w:divBdr>
        <w:top w:val="none" w:sz="0" w:space="0" w:color="auto"/>
        <w:left w:val="none" w:sz="0" w:space="0" w:color="auto"/>
        <w:bottom w:val="none" w:sz="0" w:space="0" w:color="auto"/>
        <w:right w:val="none" w:sz="0" w:space="0" w:color="auto"/>
      </w:divBdr>
    </w:div>
    <w:div w:id="1024944301">
      <w:bodyDiv w:val="1"/>
      <w:marLeft w:val="0"/>
      <w:marRight w:val="0"/>
      <w:marTop w:val="0"/>
      <w:marBottom w:val="0"/>
      <w:divBdr>
        <w:top w:val="none" w:sz="0" w:space="0" w:color="auto"/>
        <w:left w:val="none" w:sz="0" w:space="0" w:color="auto"/>
        <w:bottom w:val="none" w:sz="0" w:space="0" w:color="auto"/>
        <w:right w:val="none" w:sz="0" w:space="0" w:color="auto"/>
      </w:divBdr>
    </w:div>
    <w:div w:id="1026516468">
      <w:bodyDiv w:val="1"/>
      <w:marLeft w:val="0"/>
      <w:marRight w:val="0"/>
      <w:marTop w:val="0"/>
      <w:marBottom w:val="0"/>
      <w:divBdr>
        <w:top w:val="none" w:sz="0" w:space="0" w:color="auto"/>
        <w:left w:val="none" w:sz="0" w:space="0" w:color="auto"/>
        <w:bottom w:val="none" w:sz="0" w:space="0" w:color="auto"/>
        <w:right w:val="none" w:sz="0" w:space="0" w:color="auto"/>
      </w:divBdr>
    </w:div>
    <w:div w:id="1027028129">
      <w:bodyDiv w:val="1"/>
      <w:marLeft w:val="0"/>
      <w:marRight w:val="0"/>
      <w:marTop w:val="0"/>
      <w:marBottom w:val="0"/>
      <w:divBdr>
        <w:top w:val="none" w:sz="0" w:space="0" w:color="auto"/>
        <w:left w:val="none" w:sz="0" w:space="0" w:color="auto"/>
        <w:bottom w:val="none" w:sz="0" w:space="0" w:color="auto"/>
        <w:right w:val="none" w:sz="0" w:space="0" w:color="auto"/>
      </w:divBdr>
    </w:div>
    <w:div w:id="1027367069">
      <w:bodyDiv w:val="1"/>
      <w:marLeft w:val="0"/>
      <w:marRight w:val="0"/>
      <w:marTop w:val="0"/>
      <w:marBottom w:val="0"/>
      <w:divBdr>
        <w:top w:val="none" w:sz="0" w:space="0" w:color="auto"/>
        <w:left w:val="none" w:sz="0" w:space="0" w:color="auto"/>
        <w:bottom w:val="none" w:sz="0" w:space="0" w:color="auto"/>
        <w:right w:val="none" w:sz="0" w:space="0" w:color="auto"/>
      </w:divBdr>
    </w:div>
    <w:div w:id="1027559391">
      <w:bodyDiv w:val="1"/>
      <w:marLeft w:val="0"/>
      <w:marRight w:val="0"/>
      <w:marTop w:val="0"/>
      <w:marBottom w:val="0"/>
      <w:divBdr>
        <w:top w:val="none" w:sz="0" w:space="0" w:color="auto"/>
        <w:left w:val="none" w:sz="0" w:space="0" w:color="auto"/>
        <w:bottom w:val="none" w:sz="0" w:space="0" w:color="auto"/>
        <w:right w:val="none" w:sz="0" w:space="0" w:color="auto"/>
      </w:divBdr>
    </w:div>
    <w:div w:id="1028797195">
      <w:bodyDiv w:val="1"/>
      <w:marLeft w:val="0"/>
      <w:marRight w:val="0"/>
      <w:marTop w:val="0"/>
      <w:marBottom w:val="0"/>
      <w:divBdr>
        <w:top w:val="none" w:sz="0" w:space="0" w:color="auto"/>
        <w:left w:val="none" w:sz="0" w:space="0" w:color="auto"/>
        <w:bottom w:val="none" w:sz="0" w:space="0" w:color="auto"/>
        <w:right w:val="none" w:sz="0" w:space="0" w:color="auto"/>
      </w:divBdr>
    </w:div>
    <w:div w:id="1028874939">
      <w:bodyDiv w:val="1"/>
      <w:marLeft w:val="0"/>
      <w:marRight w:val="0"/>
      <w:marTop w:val="0"/>
      <w:marBottom w:val="0"/>
      <w:divBdr>
        <w:top w:val="none" w:sz="0" w:space="0" w:color="auto"/>
        <w:left w:val="none" w:sz="0" w:space="0" w:color="auto"/>
        <w:bottom w:val="none" w:sz="0" w:space="0" w:color="auto"/>
        <w:right w:val="none" w:sz="0" w:space="0" w:color="auto"/>
      </w:divBdr>
    </w:div>
    <w:div w:id="1029381752">
      <w:bodyDiv w:val="1"/>
      <w:marLeft w:val="0"/>
      <w:marRight w:val="0"/>
      <w:marTop w:val="0"/>
      <w:marBottom w:val="0"/>
      <w:divBdr>
        <w:top w:val="none" w:sz="0" w:space="0" w:color="auto"/>
        <w:left w:val="none" w:sz="0" w:space="0" w:color="auto"/>
        <w:bottom w:val="none" w:sz="0" w:space="0" w:color="auto"/>
        <w:right w:val="none" w:sz="0" w:space="0" w:color="auto"/>
      </w:divBdr>
    </w:div>
    <w:div w:id="1031423149">
      <w:bodyDiv w:val="1"/>
      <w:marLeft w:val="0"/>
      <w:marRight w:val="0"/>
      <w:marTop w:val="0"/>
      <w:marBottom w:val="0"/>
      <w:divBdr>
        <w:top w:val="none" w:sz="0" w:space="0" w:color="auto"/>
        <w:left w:val="none" w:sz="0" w:space="0" w:color="auto"/>
        <w:bottom w:val="none" w:sz="0" w:space="0" w:color="auto"/>
        <w:right w:val="none" w:sz="0" w:space="0" w:color="auto"/>
      </w:divBdr>
    </w:div>
    <w:div w:id="1034575510">
      <w:bodyDiv w:val="1"/>
      <w:marLeft w:val="0"/>
      <w:marRight w:val="0"/>
      <w:marTop w:val="0"/>
      <w:marBottom w:val="0"/>
      <w:divBdr>
        <w:top w:val="none" w:sz="0" w:space="0" w:color="auto"/>
        <w:left w:val="none" w:sz="0" w:space="0" w:color="auto"/>
        <w:bottom w:val="none" w:sz="0" w:space="0" w:color="auto"/>
        <w:right w:val="none" w:sz="0" w:space="0" w:color="auto"/>
      </w:divBdr>
    </w:div>
    <w:div w:id="1036276070">
      <w:bodyDiv w:val="1"/>
      <w:marLeft w:val="0"/>
      <w:marRight w:val="0"/>
      <w:marTop w:val="0"/>
      <w:marBottom w:val="0"/>
      <w:divBdr>
        <w:top w:val="none" w:sz="0" w:space="0" w:color="auto"/>
        <w:left w:val="none" w:sz="0" w:space="0" w:color="auto"/>
        <w:bottom w:val="none" w:sz="0" w:space="0" w:color="auto"/>
        <w:right w:val="none" w:sz="0" w:space="0" w:color="auto"/>
      </w:divBdr>
    </w:div>
    <w:div w:id="1042242757">
      <w:bodyDiv w:val="1"/>
      <w:marLeft w:val="0"/>
      <w:marRight w:val="0"/>
      <w:marTop w:val="0"/>
      <w:marBottom w:val="0"/>
      <w:divBdr>
        <w:top w:val="none" w:sz="0" w:space="0" w:color="auto"/>
        <w:left w:val="none" w:sz="0" w:space="0" w:color="auto"/>
        <w:bottom w:val="none" w:sz="0" w:space="0" w:color="auto"/>
        <w:right w:val="none" w:sz="0" w:space="0" w:color="auto"/>
      </w:divBdr>
    </w:div>
    <w:div w:id="1042437992">
      <w:bodyDiv w:val="1"/>
      <w:marLeft w:val="0"/>
      <w:marRight w:val="0"/>
      <w:marTop w:val="0"/>
      <w:marBottom w:val="0"/>
      <w:divBdr>
        <w:top w:val="none" w:sz="0" w:space="0" w:color="auto"/>
        <w:left w:val="none" w:sz="0" w:space="0" w:color="auto"/>
        <w:bottom w:val="none" w:sz="0" w:space="0" w:color="auto"/>
        <w:right w:val="none" w:sz="0" w:space="0" w:color="auto"/>
      </w:divBdr>
    </w:div>
    <w:div w:id="1042709704">
      <w:bodyDiv w:val="1"/>
      <w:marLeft w:val="0"/>
      <w:marRight w:val="0"/>
      <w:marTop w:val="0"/>
      <w:marBottom w:val="0"/>
      <w:divBdr>
        <w:top w:val="none" w:sz="0" w:space="0" w:color="auto"/>
        <w:left w:val="none" w:sz="0" w:space="0" w:color="auto"/>
        <w:bottom w:val="none" w:sz="0" w:space="0" w:color="auto"/>
        <w:right w:val="none" w:sz="0" w:space="0" w:color="auto"/>
      </w:divBdr>
    </w:div>
    <w:div w:id="1043751781">
      <w:bodyDiv w:val="1"/>
      <w:marLeft w:val="0"/>
      <w:marRight w:val="0"/>
      <w:marTop w:val="0"/>
      <w:marBottom w:val="0"/>
      <w:divBdr>
        <w:top w:val="none" w:sz="0" w:space="0" w:color="auto"/>
        <w:left w:val="none" w:sz="0" w:space="0" w:color="auto"/>
        <w:bottom w:val="none" w:sz="0" w:space="0" w:color="auto"/>
        <w:right w:val="none" w:sz="0" w:space="0" w:color="auto"/>
      </w:divBdr>
    </w:div>
    <w:div w:id="1047097991">
      <w:bodyDiv w:val="1"/>
      <w:marLeft w:val="0"/>
      <w:marRight w:val="0"/>
      <w:marTop w:val="0"/>
      <w:marBottom w:val="0"/>
      <w:divBdr>
        <w:top w:val="none" w:sz="0" w:space="0" w:color="auto"/>
        <w:left w:val="none" w:sz="0" w:space="0" w:color="auto"/>
        <w:bottom w:val="none" w:sz="0" w:space="0" w:color="auto"/>
        <w:right w:val="none" w:sz="0" w:space="0" w:color="auto"/>
      </w:divBdr>
    </w:div>
    <w:div w:id="1047100199">
      <w:bodyDiv w:val="1"/>
      <w:marLeft w:val="0"/>
      <w:marRight w:val="0"/>
      <w:marTop w:val="0"/>
      <w:marBottom w:val="0"/>
      <w:divBdr>
        <w:top w:val="none" w:sz="0" w:space="0" w:color="auto"/>
        <w:left w:val="none" w:sz="0" w:space="0" w:color="auto"/>
        <w:bottom w:val="none" w:sz="0" w:space="0" w:color="auto"/>
        <w:right w:val="none" w:sz="0" w:space="0" w:color="auto"/>
      </w:divBdr>
    </w:div>
    <w:div w:id="1054112494">
      <w:bodyDiv w:val="1"/>
      <w:marLeft w:val="0"/>
      <w:marRight w:val="0"/>
      <w:marTop w:val="0"/>
      <w:marBottom w:val="0"/>
      <w:divBdr>
        <w:top w:val="none" w:sz="0" w:space="0" w:color="auto"/>
        <w:left w:val="none" w:sz="0" w:space="0" w:color="auto"/>
        <w:bottom w:val="none" w:sz="0" w:space="0" w:color="auto"/>
        <w:right w:val="none" w:sz="0" w:space="0" w:color="auto"/>
      </w:divBdr>
    </w:div>
    <w:div w:id="1055082637">
      <w:bodyDiv w:val="1"/>
      <w:marLeft w:val="0"/>
      <w:marRight w:val="0"/>
      <w:marTop w:val="0"/>
      <w:marBottom w:val="0"/>
      <w:divBdr>
        <w:top w:val="none" w:sz="0" w:space="0" w:color="auto"/>
        <w:left w:val="none" w:sz="0" w:space="0" w:color="auto"/>
        <w:bottom w:val="none" w:sz="0" w:space="0" w:color="auto"/>
        <w:right w:val="none" w:sz="0" w:space="0" w:color="auto"/>
      </w:divBdr>
    </w:div>
    <w:div w:id="1055814595">
      <w:bodyDiv w:val="1"/>
      <w:marLeft w:val="0"/>
      <w:marRight w:val="0"/>
      <w:marTop w:val="0"/>
      <w:marBottom w:val="0"/>
      <w:divBdr>
        <w:top w:val="none" w:sz="0" w:space="0" w:color="auto"/>
        <w:left w:val="none" w:sz="0" w:space="0" w:color="auto"/>
        <w:bottom w:val="none" w:sz="0" w:space="0" w:color="auto"/>
        <w:right w:val="none" w:sz="0" w:space="0" w:color="auto"/>
      </w:divBdr>
    </w:div>
    <w:div w:id="1055934429">
      <w:bodyDiv w:val="1"/>
      <w:marLeft w:val="0"/>
      <w:marRight w:val="0"/>
      <w:marTop w:val="0"/>
      <w:marBottom w:val="0"/>
      <w:divBdr>
        <w:top w:val="none" w:sz="0" w:space="0" w:color="auto"/>
        <w:left w:val="none" w:sz="0" w:space="0" w:color="auto"/>
        <w:bottom w:val="none" w:sz="0" w:space="0" w:color="auto"/>
        <w:right w:val="none" w:sz="0" w:space="0" w:color="auto"/>
      </w:divBdr>
    </w:div>
    <w:div w:id="1056246634">
      <w:bodyDiv w:val="1"/>
      <w:marLeft w:val="0"/>
      <w:marRight w:val="0"/>
      <w:marTop w:val="0"/>
      <w:marBottom w:val="0"/>
      <w:divBdr>
        <w:top w:val="none" w:sz="0" w:space="0" w:color="auto"/>
        <w:left w:val="none" w:sz="0" w:space="0" w:color="auto"/>
        <w:bottom w:val="none" w:sz="0" w:space="0" w:color="auto"/>
        <w:right w:val="none" w:sz="0" w:space="0" w:color="auto"/>
      </w:divBdr>
    </w:div>
    <w:div w:id="1057587088">
      <w:bodyDiv w:val="1"/>
      <w:marLeft w:val="0"/>
      <w:marRight w:val="0"/>
      <w:marTop w:val="0"/>
      <w:marBottom w:val="0"/>
      <w:divBdr>
        <w:top w:val="none" w:sz="0" w:space="0" w:color="auto"/>
        <w:left w:val="none" w:sz="0" w:space="0" w:color="auto"/>
        <w:bottom w:val="none" w:sz="0" w:space="0" w:color="auto"/>
        <w:right w:val="none" w:sz="0" w:space="0" w:color="auto"/>
      </w:divBdr>
    </w:div>
    <w:div w:id="1060055411">
      <w:bodyDiv w:val="1"/>
      <w:marLeft w:val="0"/>
      <w:marRight w:val="0"/>
      <w:marTop w:val="0"/>
      <w:marBottom w:val="0"/>
      <w:divBdr>
        <w:top w:val="none" w:sz="0" w:space="0" w:color="auto"/>
        <w:left w:val="none" w:sz="0" w:space="0" w:color="auto"/>
        <w:bottom w:val="none" w:sz="0" w:space="0" w:color="auto"/>
        <w:right w:val="none" w:sz="0" w:space="0" w:color="auto"/>
      </w:divBdr>
    </w:div>
    <w:div w:id="1061638095">
      <w:bodyDiv w:val="1"/>
      <w:marLeft w:val="0"/>
      <w:marRight w:val="0"/>
      <w:marTop w:val="0"/>
      <w:marBottom w:val="0"/>
      <w:divBdr>
        <w:top w:val="none" w:sz="0" w:space="0" w:color="auto"/>
        <w:left w:val="none" w:sz="0" w:space="0" w:color="auto"/>
        <w:bottom w:val="none" w:sz="0" w:space="0" w:color="auto"/>
        <w:right w:val="none" w:sz="0" w:space="0" w:color="auto"/>
      </w:divBdr>
    </w:div>
    <w:div w:id="1061831486">
      <w:bodyDiv w:val="1"/>
      <w:marLeft w:val="0"/>
      <w:marRight w:val="0"/>
      <w:marTop w:val="0"/>
      <w:marBottom w:val="0"/>
      <w:divBdr>
        <w:top w:val="none" w:sz="0" w:space="0" w:color="auto"/>
        <w:left w:val="none" w:sz="0" w:space="0" w:color="auto"/>
        <w:bottom w:val="none" w:sz="0" w:space="0" w:color="auto"/>
        <w:right w:val="none" w:sz="0" w:space="0" w:color="auto"/>
      </w:divBdr>
    </w:div>
    <w:div w:id="1063791326">
      <w:bodyDiv w:val="1"/>
      <w:marLeft w:val="0"/>
      <w:marRight w:val="0"/>
      <w:marTop w:val="0"/>
      <w:marBottom w:val="0"/>
      <w:divBdr>
        <w:top w:val="none" w:sz="0" w:space="0" w:color="auto"/>
        <w:left w:val="none" w:sz="0" w:space="0" w:color="auto"/>
        <w:bottom w:val="none" w:sz="0" w:space="0" w:color="auto"/>
        <w:right w:val="none" w:sz="0" w:space="0" w:color="auto"/>
      </w:divBdr>
    </w:div>
    <w:div w:id="1068577638">
      <w:bodyDiv w:val="1"/>
      <w:marLeft w:val="0"/>
      <w:marRight w:val="0"/>
      <w:marTop w:val="0"/>
      <w:marBottom w:val="0"/>
      <w:divBdr>
        <w:top w:val="none" w:sz="0" w:space="0" w:color="auto"/>
        <w:left w:val="none" w:sz="0" w:space="0" w:color="auto"/>
        <w:bottom w:val="none" w:sz="0" w:space="0" w:color="auto"/>
        <w:right w:val="none" w:sz="0" w:space="0" w:color="auto"/>
      </w:divBdr>
    </w:div>
    <w:div w:id="1069691977">
      <w:bodyDiv w:val="1"/>
      <w:marLeft w:val="0"/>
      <w:marRight w:val="0"/>
      <w:marTop w:val="0"/>
      <w:marBottom w:val="0"/>
      <w:divBdr>
        <w:top w:val="none" w:sz="0" w:space="0" w:color="auto"/>
        <w:left w:val="none" w:sz="0" w:space="0" w:color="auto"/>
        <w:bottom w:val="none" w:sz="0" w:space="0" w:color="auto"/>
        <w:right w:val="none" w:sz="0" w:space="0" w:color="auto"/>
      </w:divBdr>
    </w:div>
    <w:div w:id="1072701559">
      <w:bodyDiv w:val="1"/>
      <w:marLeft w:val="0"/>
      <w:marRight w:val="0"/>
      <w:marTop w:val="0"/>
      <w:marBottom w:val="0"/>
      <w:divBdr>
        <w:top w:val="none" w:sz="0" w:space="0" w:color="auto"/>
        <w:left w:val="none" w:sz="0" w:space="0" w:color="auto"/>
        <w:bottom w:val="none" w:sz="0" w:space="0" w:color="auto"/>
        <w:right w:val="none" w:sz="0" w:space="0" w:color="auto"/>
      </w:divBdr>
    </w:div>
    <w:div w:id="1076636376">
      <w:bodyDiv w:val="1"/>
      <w:marLeft w:val="0"/>
      <w:marRight w:val="0"/>
      <w:marTop w:val="0"/>
      <w:marBottom w:val="0"/>
      <w:divBdr>
        <w:top w:val="none" w:sz="0" w:space="0" w:color="auto"/>
        <w:left w:val="none" w:sz="0" w:space="0" w:color="auto"/>
        <w:bottom w:val="none" w:sz="0" w:space="0" w:color="auto"/>
        <w:right w:val="none" w:sz="0" w:space="0" w:color="auto"/>
      </w:divBdr>
    </w:div>
    <w:div w:id="1077481604">
      <w:bodyDiv w:val="1"/>
      <w:marLeft w:val="0"/>
      <w:marRight w:val="0"/>
      <w:marTop w:val="0"/>
      <w:marBottom w:val="0"/>
      <w:divBdr>
        <w:top w:val="none" w:sz="0" w:space="0" w:color="auto"/>
        <w:left w:val="none" w:sz="0" w:space="0" w:color="auto"/>
        <w:bottom w:val="none" w:sz="0" w:space="0" w:color="auto"/>
        <w:right w:val="none" w:sz="0" w:space="0" w:color="auto"/>
      </w:divBdr>
    </w:div>
    <w:div w:id="1077824733">
      <w:bodyDiv w:val="1"/>
      <w:marLeft w:val="0"/>
      <w:marRight w:val="0"/>
      <w:marTop w:val="0"/>
      <w:marBottom w:val="0"/>
      <w:divBdr>
        <w:top w:val="none" w:sz="0" w:space="0" w:color="auto"/>
        <w:left w:val="none" w:sz="0" w:space="0" w:color="auto"/>
        <w:bottom w:val="none" w:sz="0" w:space="0" w:color="auto"/>
        <w:right w:val="none" w:sz="0" w:space="0" w:color="auto"/>
      </w:divBdr>
    </w:div>
    <w:div w:id="1078016619">
      <w:bodyDiv w:val="1"/>
      <w:marLeft w:val="0"/>
      <w:marRight w:val="0"/>
      <w:marTop w:val="0"/>
      <w:marBottom w:val="0"/>
      <w:divBdr>
        <w:top w:val="none" w:sz="0" w:space="0" w:color="auto"/>
        <w:left w:val="none" w:sz="0" w:space="0" w:color="auto"/>
        <w:bottom w:val="none" w:sz="0" w:space="0" w:color="auto"/>
        <w:right w:val="none" w:sz="0" w:space="0" w:color="auto"/>
      </w:divBdr>
    </w:div>
    <w:div w:id="1078752930">
      <w:bodyDiv w:val="1"/>
      <w:marLeft w:val="0"/>
      <w:marRight w:val="0"/>
      <w:marTop w:val="0"/>
      <w:marBottom w:val="0"/>
      <w:divBdr>
        <w:top w:val="none" w:sz="0" w:space="0" w:color="auto"/>
        <w:left w:val="none" w:sz="0" w:space="0" w:color="auto"/>
        <w:bottom w:val="none" w:sz="0" w:space="0" w:color="auto"/>
        <w:right w:val="none" w:sz="0" w:space="0" w:color="auto"/>
      </w:divBdr>
    </w:div>
    <w:div w:id="1079786720">
      <w:bodyDiv w:val="1"/>
      <w:marLeft w:val="0"/>
      <w:marRight w:val="0"/>
      <w:marTop w:val="0"/>
      <w:marBottom w:val="0"/>
      <w:divBdr>
        <w:top w:val="none" w:sz="0" w:space="0" w:color="auto"/>
        <w:left w:val="none" w:sz="0" w:space="0" w:color="auto"/>
        <w:bottom w:val="none" w:sz="0" w:space="0" w:color="auto"/>
        <w:right w:val="none" w:sz="0" w:space="0" w:color="auto"/>
      </w:divBdr>
    </w:div>
    <w:div w:id="1079980673">
      <w:bodyDiv w:val="1"/>
      <w:marLeft w:val="0"/>
      <w:marRight w:val="0"/>
      <w:marTop w:val="0"/>
      <w:marBottom w:val="0"/>
      <w:divBdr>
        <w:top w:val="none" w:sz="0" w:space="0" w:color="auto"/>
        <w:left w:val="none" w:sz="0" w:space="0" w:color="auto"/>
        <w:bottom w:val="none" w:sz="0" w:space="0" w:color="auto"/>
        <w:right w:val="none" w:sz="0" w:space="0" w:color="auto"/>
      </w:divBdr>
    </w:div>
    <w:div w:id="1081635505">
      <w:bodyDiv w:val="1"/>
      <w:marLeft w:val="0"/>
      <w:marRight w:val="0"/>
      <w:marTop w:val="0"/>
      <w:marBottom w:val="0"/>
      <w:divBdr>
        <w:top w:val="none" w:sz="0" w:space="0" w:color="auto"/>
        <w:left w:val="none" w:sz="0" w:space="0" w:color="auto"/>
        <w:bottom w:val="none" w:sz="0" w:space="0" w:color="auto"/>
        <w:right w:val="none" w:sz="0" w:space="0" w:color="auto"/>
      </w:divBdr>
    </w:div>
    <w:div w:id="1083726011">
      <w:bodyDiv w:val="1"/>
      <w:marLeft w:val="0"/>
      <w:marRight w:val="0"/>
      <w:marTop w:val="0"/>
      <w:marBottom w:val="0"/>
      <w:divBdr>
        <w:top w:val="none" w:sz="0" w:space="0" w:color="auto"/>
        <w:left w:val="none" w:sz="0" w:space="0" w:color="auto"/>
        <w:bottom w:val="none" w:sz="0" w:space="0" w:color="auto"/>
        <w:right w:val="none" w:sz="0" w:space="0" w:color="auto"/>
      </w:divBdr>
    </w:div>
    <w:div w:id="1084953070">
      <w:bodyDiv w:val="1"/>
      <w:marLeft w:val="0"/>
      <w:marRight w:val="0"/>
      <w:marTop w:val="0"/>
      <w:marBottom w:val="0"/>
      <w:divBdr>
        <w:top w:val="none" w:sz="0" w:space="0" w:color="auto"/>
        <w:left w:val="none" w:sz="0" w:space="0" w:color="auto"/>
        <w:bottom w:val="none" w:sz="0" w:space="0" w:color="auto"/>
        <w:right w:val="none" w:sz="0" w:space="0" w:color="auto"/>
      </w:divBdr>
    </w:div>
    <w:div w:id="1084953430">
      <w:bodyDiv w:val="1"/>
      <w:marLeft w:val="0"/>
      <w:marRight w:val="0"/>
      <w:marTop w:val="0"/>
      <w:marBottom w:val="0"/>
      <w:divBdr>
        <w:top w:val="none" w:sz="0" w:space="0" w:color="auto"/>
        <w:left w:val="none" w:sz="0" w:space="0" w:color="auto"/>
        <w:bottom w:val="none" w:sz="0" w:space="0" w:color="auto"/>
        <w:right w:val="none" w:sz="0" w:space="0" w:color="auto"/>
      </w:divBdr>
    </w:div>
    <w:div w:id="1085109102">
      <w:bodyDiv w:val="1"/>
      <w:marLeft w:val="0"/>
      <w:marRight w:val="0"/>
      <w:marTop w:val="0"/>
      <w:marBottom w:val="0"/>
      <w:divBdr>
        <w:top w:val="none" w:sz="0" w:space="0" w:color="auto"/>
        <w:left w:val="none" w:sz="0" w:space="0" w:color="auto"/>
        <w:bottom w:val="none" w:sz="0" w:space="0" w:color="auto"/>
        <w:right w:val="none" w:sz="0" w:space="0" w:color="auto"/>
      </w:divBdr>
    </w:div>
    <w:div w:id="1085803699">
      <w:bodyDiv w:val="1"/>
      <w:marLeft w:val="0"/>
      <w:marRight w:val="0"/>
      <w:marTop w:val="0"/>
      <w:marBottom w:val="0"/>
      <w:divBdr>
        <w:top w:val="none" w:sz="0" w:space="0" w:color="auto"/>
        <w:left w:val="none" w:sz="0" w:space="0" w:color="auto"/>
        <w:bottom w:val="none" w:sz="0" w:space="0" w:color="auto"/>
        <w:right w:val="none" w:sz="0" w:space="0" w:color="auto"/>
      </w:divBdr>
    </w:div>
    <w:div w:id="1086002941">
      <w:bodyDiv w:val="1"/>
      <w:marLeft w:val="0"/>
      <w:marRight w:val="0"/>
      <w:marTop w:val="0"/>
      <w:marBottom w:val="0"/>
      <w:divBdr>
        <w:top w:val="none" w:sz="0" w:space="0" w:color="auto"/>
        <w:left w:val="none" w:sz="0" w:space="0" w:color="auto"/>
        <w:bottom w:val="none" w:sz="0" w:space="0" w:color="auto"/>
        <w:right w:val="none" w:sz="0" w:space="0" w:color="auto"/>
      </w:divBdr>
    </w:div>
    <w:div w:id="1086222628">
      <w:bodyDiv w:val="1"/>
      <w:marLeft w:val="0"/>
      <w:marRight w:val="0"/>
      <w:marTop w:val="0"/>
      <w:marBottom w:val="0"/>
      <w:divBdr>
        <w:top w:val="none" w:sz="0" w:space="0" w:color="auto"/>
        <w:left w:val="none" w:sz="0" w:space="0" w:color="auto"/>
        <w:bottom w:val="none" w:sz="0" w:space="0" w:color="auto"/>
        <w:right w:val="none" w:sz="0" w:space="0" w:color="auto"/>
      </w:divBdr>
    </w:div>
    <w:div w:id="1086926255">
      <w:bodyDiv w:val="1"/>
      <w:marLeft w:val="0"/>
      <w:marRight w:val="0"/>
      <w:marTop w:val="0"/>
      <w:marBottom w:val="0"/>
      <w:divBdr>
        <w:top w:val="none" w:sz="0" w:space="0" w:color="auto"/>
        <w:left w:val="none" w:sz="0" w:space="0" w:color="auto"/>
        <w:bottom w:val="none" w:sz="0" w:space="0" w:color="auto"/>
        <w:right w:val="none" w:sz="0" w:space="0" w:color="auto"/>
      </w:divBdr>
    </w:div>
    <w:div w:id="1087847082">
      <w:bodyDiv w:val="1"/>
      <w:marLeft w:val="0"/>
      <w:marRight w:val="0"/>
      <w:marTop w:val="0"/>
      <w:marBottom w:val="0"/>
      <w:divBdr>
        <w:top w:val="none" w:sz="0" w:space="0" w:color="auto"/>
        <w:left w:val="none" w:sz="0" w:space="0" w:color="auto"/>
        <w:bottom w:val="none" w:sz="0" w:space="0" w:color="auto"/>
        <w:right w:val="none" w:sz="0" w:space="0" w:color="auto"/>
      </w:divBdr>
    </w:div>
    <w:div w:id="1089816365">
      <w:bodyDiv w:val="1"/>
      <w:marLeft w:val="0"/>
      <w:marRight w:val="0"/>
      <w:marTop w:val="0"/>
      <w:marBottom w:val="0"/>
      <w:divBdr>
        <w:top w:val="none" w:sz="0" w:space="0" w:color="auto"/>
        <w:left w:val="none" w:sz="0" w:space="0" w:color="auto"/>
        <w:bottom w:val="none" w:sz="0" w:space="0" w:color="auto"/>
        <w:right w:val="none" w:sz="0" w:space="0" w:color="auto"/>
      </w:divBdr>
    </w:div>
    <w:div w:id="1090781334">
      <w:bodyDiv w:val="1"/>
      <w:marLeft w:val="0"/>
      <w:marRight w:val="0"/>
      <w:marTop w:val="0"/>
      <w:marBottom w:val="0"/>
      <w:divBdr>
        <w:top w:val="none" w:sz="0" w:space="0" w:color="auto"/>
        <w:left w:val="none" w:sz="0" w:space="0" w:color="auto"/>
        <w:bottom w:val="none" w:sz="0" w:space="0" w:color="auto"/>
        <w:right w:val="none" w:sz="0" w:space="0" w:color="auto"/>
      </w:divBdr>
    </w:div>
    <w:div w:id="1093550731">
      <w:bodyDiv w:val="1"/>
      <w:marLeft w:val="0"/>
      <w:marRight w:val="0"/>
      <w:marTop w:val="0"/>
      <w:marBottom w:val="0"/>
      <w:divBdr>
        <w:top w:val="none" w:sz="0" w:space="0" w:color="auto"/>
        <w:left w:val="none" w:sz="0" w:space="0" w:color="auto"/>
        <w:bottom w:val="none" w:sz="0" w:space="0" w:color="auto"/>
        <w:right w:val="none" w:sz="0" w:space="0" w:color="auto"/>
      </w:divBdr>
    </w:div>
    <w:div w:id="1094284786">
      <w:bodyDiv w:val="1"/>
      <w:marLeft w:val="0"/>
      <w:marRight w:val="0"/>
      <w:marTop w:val="0"/>
      <w:marBottom w:val="0"/>
      <w:divBdr>
        <w:top w:val="none" w:sz="0" w:space="0" w:color="auto"/>
        <w:left w:val="none" w:sz="0" w:space="0" w:color="auto"/>
        <w:bottom w:val="none" w:sz="0" w:space="0" w:color="auto"/>
        <w:right w:val="none" w:sz="0" w:space="0" w:color="auto"/>
      </w:divBdr>
    </w:div>
    <w:div w:id="1095638299">
      <w:bodyDiv w:val="1"/>
      <w:marLeft w:val="0"/>
      <w:marRight w:val="0"/>
      <w:marTop w:val="0"/>
      <w:marBottom w:val="0"/>
      <w:divBdr>
        <w:top w:val="none" w:sz="0" w:space="0" w:color="auto"/>
        <w:left w:val="none" w:sz="0" w:space="0" w:color="auto"/>
        <w:bottom w:val="none" w:sz="0" w:space="0" w:color="auto"/>
        <w:right w:val="none" w:sz="0" w:space="0" w:color="auto"/>
      </w:divBdr>
    </w:div>
    <w:div w:id="1096826822">
      <w:bodyDiv w:val="1"/>
      <w:marLeft w:val="0"/>
      <w:marRight w:val="0"/>
      <w:marTop w:val="0"/>
      <w:marBottom w:val="0"/>
      <w:divBdr>
        <w:top w:val="none" w:sz="0" w:space="0" w:color="auto"/>
        <w:left w:val="none" w:sz="0" w:space="0" w:color="auto"/>
        <w:bottom w:val="none" w:sz="0" w:space="0" w:color="auto"/>
        <w:right w:val="none" w:sz="0" w:space="0" w:color="auto"/>
      </w:divBdr>
    </w:div>
    <w:div w:id="1101533036">
      <w:bodyDiv w:val="1"/>
      <w:marLeft w:val="0"/>
      <w:marRight w:val="0"/>
      <w:marTop w:val="0"/>
      <w:marBottom w:val="0"/>
      <w:divBdr>
        <w:top w:val="none" w:sz="0" w:space="0" w:color="auto"/>
        <w:left w:val="none" w:sz="0" w:space="0" w:color="auto"/>
        <w:bottom w:val="none" w:sz="0" w:space="0" w:color="auto"/>
        <w:right w:val="none" w:sz="0" w:space="0" w:color="auto"/>
      </w:divBdr>
    </w:div>
    <w:div w:id="1102997197">
      <w:bodyDiv w:val="1"/>
      <w:marLeft w:val="0"/>
      <w:marRight w:val="0"/>
      <w:marTop w:val="0"/>
      <w:marBottom w:val="0"/>
      <w:divBdr>
        <w:top w:val="none" w:sz="0" w:space="0" w:color="auto"/>
        <w:left w:val="none" w:sz="0" w:space="0" w:color="auto"/>
        <w:bottom w:val="none" w:sz="0" w:space="0" w:color="auto"/>
        <w:right w:val="none" w:sz="0" w:space="0" w:color="auto"/>
      </w:divBdr>
    </w:div>
    <w:div w:id="1103959853">
      <w:bodyDiv w:val="1"/>
      <w:marLeft w:val="0"/>
      <w:marRight w:val="0"/>
      <w:marTop w:val="0"/>
      <w:marBottom w:val="0"/>
      <w:divBdr>
        <w:top w:val="none" w:sz="0" w:space="0" w:color="auto"/>
        <w:left w:val="none" w:sz="0" w:space="0" w:color="auto"/>
        <w:bottom w:val="none" w:sz="0" w:space="0" w:color="auto"/>
        <w:right w:val="none" w:sz="0" w:space="0" w:color="auto"/>
      </w:divBdr>
    </w:div>
    <w:div w:id="1104230640">
      <w:bodyDiv w:val="1"/>
      <w:marLeft w:val="0"/>
      <w:marRight w:val="0"/>
      <w:marTop w:val="0"/>
      <w:marBottom w:val="0"/>
      <w:divBdr>
        <w:top w:val="none" w:sz="0" w:space="0" w:color="auto"/>
        <w:left w:val="none" w:sz="0" w:space="0" w:color="auto"/>
        <w:bottom w:val="none" w:sz="0" w:space="0" w:color="auto"/>
        <w:right w:val="none" w:sz="0" w:space="0" w:color="auto"/>
      </w:divBdr>
    </w:div>
    <w:div w:id="1104300429">
      <w:bodyDiv w:val="1"/>
      <w:marLeft w:val="0"/>
      <w:marRight w:val="0"/>
      <w:marTop w:val="0"/>
      <w:marBottom w:val="0"/>
      <w:divBdr>
        <w:top w:val="none" w:sz="0" w:space="0" w:color="auto"/>
        <w:left w:val="none" w:sz="0" w:space="0" w:color="auto"/>
        <w:bottom w:val="none" w:sz="0" w:space="0" w:color="auto"/>
        <w:right w:val="none" w:sz="0" w:space="0" w:color="auto"/>
      </w:divBdr>
    </w:div>
    <w:div w:id="1107427952">
      <w:bodyDiv w:val="1"/>
      <w:marLeft w:val="0"/>
      <w:marRight w:val="0"/>
      <w:marTop w:val="0"/>
      <w:marBottom w:val="0"/>
      <w:divBdr>
        <w:top w:val="none" w:sz="0" w:space="0" w:color="auto"/>
        <w:left w:val="none" w:sz="0" w:space="0" w:color="auto"/>
        <w:bottom w:val="none" w:sz="0" w:space="0" w:color="auto"/>
        <w:right w:val="none" w:sz="0" w:space="0" w:color="auto"/>
      </w:divBdr>
    </w:div>
    <w:div w:id="1107891093">
      <w:bodyDiv w:val="1"/>
      <w:marLeft w:val="0"/>
      <w:marRight w:val="0"/>
      <w:marTop w:val="0"/>
      <w:marBottom w:val="0"/>
      <w:divBdr>
        <w:top w:val="none" w:sz="0" w:space="0" w:color="auto"/>
        <w:left w:val="none" w:sz="0" w:space="0" w:color="auto"/>
        <w:bottom w:val="none" w:sz="0" w:space="0" w:color="auto"/>
        <w:right w:val="none" w:sz="0" w:space="0" w:color="auto"/>
      </w:divBdr>
    </w:div>
    <w:div w:id="1109161370">
      <w:bodyDiv w:val="1"/>
      <w:marLeft w:val="0"/>
      <w:marRight w:val="0"/>
      <w:marTop w:val="0"/>
      <w:marBottom w:val="0"/>
      <w:divBdr>
        <w:top w:val="none" w:sz="0" w:space="0" w:color="auto"/>
        <w:left w:val="none" w:sz="0" w:space="0" w:color="auto"/>
        <w:bottom w:val="none" w:sz="0" w:space="0" w:color="auto"/>
        <w:right w:val="none" w:sz="0" w:space="0" w:color="auto"/>
      </w:divBdr>
    </w:div>
    <w:div w:id="1111313783">
      <w:bodyDiv w:val="1"/>
      <w:marLeft w:val="0"/>
      <w:marRight w:val="0"/>
      <w:marTop w:val="0"/>
      <w:marBottom w:val="0"/>
      <w:divBdr>
        <w:top w:val="none" w:sz="0" w:space="0" w:color="auto"/>
        <w:left w:val="none" w:sz="0" w:space="0" w:color="auto"/>
        <w:bottom w:val="none" w:sz="0" w:space="0" w:color="auto"/>
        <w:right w:val="none" w:sz="0" w:space="0" w:color="auto"/>
      </w:divBdr>
    </w:div>
    <w:div w:id="1114322806">
      <w:bodyDiv w:val="1"/>
      <w:marLeft w:val="0"/>
      <w:marRight w:val="0"/>
      <w:marTop w:val="0"/>
      <w:marBottom w:val="0"/>
      <w:divBdr>
        <w:top w:val="none" w:sz="0" w:space="0" w:color="auto"/>
        <w:left w:val="none" w:sz="0" w:space="0" w:color="auto"/>
        <w:bottom w:val="none" w:sz="0" w:space="0" w:color="auto"/>
        <w:right w:val="none" w:sz="0" w:space="0" w:color="auto"/>
      </w:divBdr>
    </w:div>
    <w:div w:id="1121192452">
      <w:bodyDiv w:val="1"/>
      <w:marLeft w:val="0"/>
      <w:marRight w:val="0"/>
      <w:marTop w:val="0"/>
      <w:marBottom w:val="0"/>
      <w:divBdr>
        <w:top w:val="none" w:sz="0" w:space="0" w:color="auto"/>
        <w:left w:val="none" w:sz="0" w:space="0" w:color="auto"/>
        <w:bottom w:val="none" w:sz="0" w:space="0" w:color="auto"/>
        <w:right w:val="none" w:sz="0" w:space="0" w:color="auto"/>
      </w:divBdr>
    </w:div>
    <w:div w:id="1121924320">
      <w:bodyDiv w:val="1"/>
      <w:marLeft w:val="0"/>
      <w:marRight w:val="0"/>
      <w:marTop w:val="0"/>
      <w:marBottom w:val="0"/>
      <w:divBdr>
        <w:top w:val="none" w:sz="0" w:space="0" w:color="auto"/>
        <w:left w:val="none" w:sz="0" w:space="0" w:color="auto"/>
        <w:bottom w:val="none" w:sz="0" w:space="0" w:color="auto"/>
        <w:right w:val="none" w:sz="0" w:space="0" w:color="auto"/>
      </w:divBdr>
    </w:div>
    <w:div w:id="1122000322">
      <w:bodyDiv w:val="1"/>
      <w:marLeft w:val="0"/>
      <w:marRight w:val="0"/>
      <w:marTop w:val="0"/>
      <w:marBottom w:val="0"/>
      <w:divBdr>
        <w:top w:val="none" w:sz="0" w:space="0" w:color="auto"/>
        <w:left w:val="none" w:sz="0" w:space="0" w:color="auto"/>
        <w:bottom w:val="none" w:sz="0" w:space="0" w:color="auto"/>
        <w:right w:val="none" w:sz="0" w:space="0" w:color="auto"/>
      </w:divBdr>
    </w:div>
    <w:div w:id="1122378562">
      <w:bodyDiv w:val="1"/>
      <w:marLeft w:val="0"/>
      <w:marRight w:val="0"/>
      <w:marTop w:val="0"/>
      <w:marBottom w:val="0"/>
      <w:divBdr>
        <w:top w:val="none" w:sz="0" w:space="0" w:color="auto"/>
        <w:left w:val="none" w:sz="0" w:space="0" w:color="auto"/>
        <w:bottom w:val="none" w:sz="0" w:space="0" w:color="auto"/>
        <w:right w:val="none" w:sz="0" w:space="0" w:color="auto"/>
      </w:divBdr>
    </w:div>
    <w:div w:id="1122728196">
      <w:bodyDiv w:val="1"/>
      <w:marLeft w:val="0"/>
      <w:marRight w:val="0"/>
      <w:marTop w:val="0"/>
      <w:marBottom w:val="0"/>
      <w:divBdr>
        <w:top w:val="none" w:sz="0" w:space="0" w:color="auto"/>
        <w:left w:val="none" w:sz="0" w:space="0" w:color="auto"/>
        <w:bottom w:val="none" w:sz="0" w:space="0" w:color="auto"/>
        <w:right w:val="none" w:sz="0" w:space="0" w:color="auto"/>
      </w:divBdr>
    </w:div>
    <w:div w:id="1124228950">
      <w:bodyDiv w:val="1"/>
      <w:marLeft w:val="0"/>
      <w:marRight w:val="0"/>
      <w:marTop w:val="0"/>
      <w:marBottom w:val="0"/>
      <w:divBdr>
        <w:top w:val="none" w:sz="0" w:space="0" w:color="auto"/>
        <w:left w:val="none" w:sz="0" w:space="0" w:color="auto"/>
        <w:bottom w:val="none" w:sz="0" w:space="0" w:color="auto"/>
        <w:right w:val="none" w:sz="0" w:space="0" w:color="auto"/>
      </w:divBdr>
    </w:div>
    <w:div w:id="1124302146">
      <w:bodyDiv w:val="1"/>
      <w:marLeft w:val="0"/>
      <w:marRight w:val="0"/>
      <w:marTop w:val="0"/>
      <w:marBottom w:val="0"/>
      <w:divBdr>
        <w:top w:val="none" w:sz="0" w:space="0" w:color="auto"/>
        <w:left w:val="none" w:sz="0" w:space="0" w:color="auto"/>
        <w:bottom w:val="none" w:sz="0" w:space="0" w:color="auto"/>
        <w:right w:val="none" w:sz="0" w:space="0" w:color="auto"/>
      </w:divBdr>
    </w:div>
    <w:div w:id="1125543125">
      <w:bodyDiv w:val="1"/>
      <w:marLeft w:val="0"/>
      <w:marRight w:val="0"/>
      <w:marTop w:val="0"/>
      <w:marBottom w:val="0"/>
      <w:divBdr>
        <w:top w:val="none" w:sz="0" w:space="0" w:color="auto"/>
        <w:left w:val="none" w:sz="0" w:space="0" w:color="auto"/>
        <w:bottom w:val="none" w:sz="0" w:space="0" w:color="auto"/>
        <w:right w:val="none" w:sz="0" w:space="0" w:color="auto"/>
      </w:divBdr>
    </w:div>
    <w:div w:id="1129786350">
      <w:bodyDiv w:val="1"/>
      <w:marLeft w:val="0"/>
      <w:marRight w:val="0"/>
      <w:marTop w:val="0"/>
      <w:marBottom w:val="0"/>
      <w:divBdr>
        <w:top w:val="none" w:sz="0" w:space="0" w:color="auto"/>
        <w:left w:val="none" w:sz="0" w:space="0" w:color="auto"/>
        <w:bottom w:val="none" w:sz="0" w:space="0" w:color="auto"/>
        <w:right w:val="none" w:sz="0" w:space="0" w:color="auto"/>
      </w:divBdr>
    </w:div>
    <w:div w:id="1130365337">
      <w:bodyDiv w:val="1"/>
      <w:marLeft w:val="0"/>
      <w:marRight w:val="0"/>
      <w:marTop w:val="0"/>
      <w:marBottom w:val="0"/>
      <w:divBdr>
        <w:top w:val="none" w:sz="0" w:space="0" w:color="auto"/>
        <w:left w:val="none" w:sz="0" w:space="0" w:color="auto"/>
        <w:bottom w:val="none" w:sz="0" w:space="0" w:color="auto"/>
        <w:right w:val="none" w:sz="0" w:space="0" w:color="auto"/>
      </w:divBdr>
    </w:div>
    <w:div w:id="1130896811">
      <w:bodyDiv w:val="1"/>
      <w:marLeft w:val="0"/>
      <w:marRight w:val="0"/>
      <w:marTop w:val="0"/>
      <w:marBottom w:val="0"/>
      <w:divBdr>
        <w:top w:val="none" w:sz="0" w:space="0" w:color="auto"/>
        <w:left w:val="none" w:sz="0" w:space="0" w:color="auto"/>
        <w:bottom w:val="none" w:sz="0" w:space="0" w:color="auto"/>
        <w:right w:val="none" w:sz="0" w:space="0" w:color="auto"/>
      </w:divBdr>
    </w:div>
    <w:div w:id="1138106304">
      <w:bodyDiv w:val="1"/>
      <w:marLeft w:val="0"/>
      <w:marRight w:val="0"/>
      <w:marTop w:val="0"/>
      <w:marBottom w:val="0"/>
      <w:divBdr>
        <w:top w:val="none" w:sz="0" w:space="0" w:color="auto"/>
        <w:left w:val="none" w:sz="0" w:space="0" w:color="auto"/>
        <w:bottom w:val="none" w:sz="0" w:space="0" w:color="auto"/>
        <w:right w:val="none" w:sz="0" w:space="0" w:color="auto"/>
      </w:divBdr>
    </w:div>
    <w:div w:id="1139765925">
      <w:bodyDiv w:val="1"/>
      <w:marLeft w:val="0"/>
      <w:marRight w:val="0"/>
      <w:marTop w:val="0"/>
      <w:marBottom w:val="0"/>
      <w:divBdr>
        <w:top w:val="none" w:sz="0" w:space="0" w:color="auto"/>
        <w:left w:val="none" w:sz="0" w:space="0" w:color="auto"/>
        <w:bottom w:val="none" w:sz="0" w:space="0" w:color="auto"/>
        <w:right w:val="none" w:sz="0" w:space="0" w:color="auto"/>
      </w:divBdr>
    </w:div>
    <w:div w:id="1139805533">
      <w:bodyDiv w:val="1"/>
      <w:marLeft w:val="0"/>
      <w:marRight w:val="0"/>
      <w:marTop w:val="0"/>
      <w:marBottom w:val="0"/>
      <w:divBdr>
        <w:top w:val="none" w:sz="0" w:space="0" w:color="auto"/>
        <w:left w:val="none" w:sz="0" w:space="0" w:color="auto"/>
        <w:bottom w:val="none" w:sz="0" w:space="0" w:color="auto"/>
        <w:right w:val="none" w:sz="0" w:space="0" w:color="auto"/>
      </w:divBdr>
    </w:div>
    <w:div w:id="1142388287">
      <w:bodyDiv w:val="1"/>
      <w:marLeft w:val="0"/>
      <w:marRight w:val="0"/>
      <w:marTop w:val="0"/>
      <w:marBottom w:val="0"/>
      <w:divBdr>
        <w:top w:val="none" w:sz="0" w:space="0" w:color="auto"/>
        <w:left w:val="none" w:sz="0" w:space="0" w:color="auto"/>
        <w:bottom w:val="none" w:sz="0" w:space="0" w:color="auto"/>
        <w:right w:val="none" w:sz="0" w:space="0" w:color="auto"/>
      </w:divBdr>
    </w:div>
    <w:div w:id="1142576365">
      <w:bodyDiv w:val="1"/>
      <w:marLeft w:val="0"/>
      <w:marRight w:val="0"/>
      <w:marTop w:val="0"/>
      <w:marBottom w:val="0"/>
      <w:divBdr>
        <w:top w:val="none" w:sz="0" w:space="0" w:color="auto"/>
        <w:left w:val="none" w:sz="0" w:space="0" w:color="auto"/>
        <w:bottom w:val="none" w:sz="0" w:space="0" w:color="auto"/>
        <w:right w:val="none" w:sz="0" w:space="0" w:color="auto"/>
      </w:divBdr>
    </w:div>
    <w:div w:id="1143350779">
      <w:bodyDiv w:val="1"/>
      <w:marLeft w:val="0"/>
      <w:marRight w:val="0"/>
      <w:marTop w:val="0"/>
      <w:marBottom w:val="0"/>
      <w:divBdr>
        <w:top w:val="none" w:sz="0" w:space="0" w:color="auto"/>
        <w:left w:val="none" w:sz="0" w:space="0" w:color="auto"/>
        <w:bottom w:val="none" w:sz="0" w:space="0" w:color="auto"/>
        <w:right w:val="none" w:sz="0" w:space="0" w:color="auto"/>
      </w:divBdr>
    </w:div>
    <w:div w:id="1146047494">
      <w:bodyDiv w:val="1"/>
      <w:marLeft w:val="0"/>
      <w:marRight w:val="0"/>
      <w:marTop w:val="0"/>
      <w:marBottom w:val="0"/>
      <w:divBdr>
        <w:top w:val="none" w:sz="0" w:space="0" w:color="auto"/>
        <w:left w:val="none" w:sz="0" w:space="0" w:color="auto"/>
        <w:bottom w:val="none" w:sz="0" w:space="0" w:color="auto"/>
        <w:right w:val="none" w:sz="0" w:space="0" w:color="auto"/>
      </w:divBdr>
    </w:div>
    <w:div w:id="1146967354">
      <w:bodyDiv w:val="1"/>
      <w:marLeft w:val="0"/>
      <w:marRight w:val="0"/>
      <w:marTop w:val="0"/>
      <w:marBottom w:val="0"/>
      <w:divBdr>
        <w:top w:val="none" w:sz="0" w:space="0" w:color="auto"/>
        <w:left w:val="none" w:sz="0" w:space="0" w:color="auto"/>
        <w:bottom w:val="none" w:sz="0" w:space="0" w:color="auto"/>
        <w:right w:val="none" w:sz="0" w:space="0" w:color="auto"/>
      </w:divBdr>
    </w:div>
    <w:div w:id="1148670013">
      <w:bodyDiv w:val="1"/>
      <w:marLeft w:val="0"/>
      <w:marRight w:val="0"/>
      <w:marTop w:val="0"/>
      <w:marBottom w:val="0"/>
      <w:divBdr>
        <w:top w:val="none" w:sz="0" w:space="0" w:color="auto"/>
        <w:left w:val="none" w:sz="0" w:space="0" w:color="auto"/>
        <w:bottom w:val="none" w:sz="0" w:space="0" w:color="auto"/>
        <w:right w:val="none" w:sz="0" w:space="0" w:color="auto"/>
      </w:divBdr>
    </w:div>
    <w:div w:id="1148942061">
      <w:bodyDiv w:val="1"/>
      <w:marLeft w:val="0"/>
      <w:marRight w:val="0"/>
      <w:marTop w:val="0"/>
      <w:marBottom w:val="0"/>
      <w:divBdr>
        <w:top w:val="none" w:sz="0" w:space="0" w:color="auto"/>
        <w:left w:val="none" w:sz="0" w:space="0" w:color="auto"/>
        <w:bottom w:val="none" w:sz="0" w:space="0" w:color="auto"/>
        <w:right w:val="none" w:sz="0" w:space="0" w:color="auto"/>
      </w:divBdr>
    </w:div>
    <w:div w:id="1151172224">
      <w:bodyDiv w:val="1"/>
      <w:marLeft w:val="0"/>
      <w:marRight w:val="0"/>
      <w:marTop w:val="0"/>
      <w:marBottom w:val="0"/>
      <w:divBdr>
        <w:top w:val="none" w:sz="0" w:space="0" w:color="auto"/>
        <w:left w:val="none" w:sz="0" w:space="0" w:color="auto"/>
        <w:bottom w:val="none" w:sz="0" w:space="0" w:color="auto"/>
        <w:right w:val="none" w:sz="0" w:space="0" w:color="auto"/>
      </w:divBdr>
    </w:div>
    <w:div w:id="1152941767">
      <w:bodyDiv w:val="1"/>
      <w:marLeft w:val="0"/>
      <w:marRight w:val="0"/>
      <w:marTop w:val="0"/>
      <w:marBottom w:val="0"/>
      <w:divBdr>
        <w:top w:val="none" w:sz="0" w:space="0" w:color="auto"/>
        <w:left w:val="none" w:sz="0" w:space="0" w:color="auto"/>
        <w:bottom w:val="none" w:sz="0" w:space="0" w:color="auto"/>
        <w:right w:val="none" w:sz="0" w:space="0" w:color="auto"/>
      </w:divBdr>
    </w:div>
    <w:div w:id="1153368864">
      <w:bodyDiv w:val="1"/>
      <w:marLeft w:val="0"/>
      <w:marRight w:val="0"/>
      <w:marTop w:val="0"/>
      <w:marBottom w:val="0"/>
      <w:divBdr>
        <w:top w:val="none" w:sz="0" w:space="0" w:color="auto"/>
        <w:left w:val="none" w:sz="0" w:space="0" w:color="auto"/>
        <w:bottom w:val="none" w:sz="0" w:space="0" w:color="auto"/>
        <w:right w:val="none" w:sz="0" w:space="0" w:color="auto"/>
      </w:divBdr>
    </w:div>
    <w:div w:id="1153639735">
      <w:bodyDiv w:val="1"/>
      <w:marLeft w:val="0"/>
      <w:marRight w:val="0"/>
      <w:marTop w:val="0"/>
      <w:marBottom w:val="0"/>
      <w:divBdr>
        <w:top w:val="none" w:sz="0" w:space="0" w:color="auto"/>
        <w:left w:val="none" w:sz="0" w:space="0" w:color="auto"/>
        <w:bottom w:val="none" w:sz="0" w:space="0" w:color="auto"/>
        <w:right w:val="none" w:sz="0" w:space="0" w:color="auto"/>
      </w:divBdr>
    </w:div>
    <w:div w:id="1156802583">
      <w:bodyDiv w:val="1"/>
      <w:marLeft w:val="0"/>
      <w:marRight w:val="0"/>
      <w:marTop w:val="0"/>
      <w:marBottom w:val="0"/>
      <w:divBdr>
        <w:top w:val="none" w:sz="0" w:space="0" w:color="auto"/>
        <w:left w:val="none" w:sz="0" w:space="0" w:color="auto"/>
        <w:bottom w:val="none" w:sz="0" w:space="0" w:color="auto"/>
        <w:right w:val="none" w:sz="0" w:space="0" w:color="auto"/>
      </w:divBdr>
    </w:div>
    <w:div w:id="1158306783">
      <w:bodyDiv w:val="1"/>
      <w:marLeft w:val="0"/>
      <w:marRight w:val="0"/>
      <w:marTop w:val="0"/>
      <w:marBottom w:val="0"/>
      <w:divBdr>
        <w:top w:val="none" w:sz="0" w:space="0" w:color="auto"/>
        <w:left w:val="none" w:sz="0" w:space="0" w:color="auto"/>
        <w:bottom w:val="none" w:sz="0" w:space="0" w:color="auto"/>
        <w:right w:val="none" w:sz="0" w:space="0" w:color="auto"/>
      </w:divBdr>
    </w:div>
    <w:div w:id="1158956007">
      <w:bodyDiv w:val="1"/>
      <w:marLeft w:val="0"/>
      <w:marRight w:val="0"/>
      <w:marTop w:val="0"/>
      <w:marBottom w:val="0"/>
      <w:divBdr>
        <w:top w:val="none" w:sz="0" w:space="0" w:color="auto"/>
        <w:left w:val="none" w:sz="0" w:space="0" w:color="auto"/>
        <w:bottom w:val="none" w:sz="0" w:space="0" w:color="auto"/>
        <w:right w:val="none" w:sz="0" w:space="0" w:color="auto"/>
      </w:divBdr>
    </w:div>
    <w:div w:id="1160073313">
      <w:bodyDiv w:val="1"/>
      <w:marLeft w:val="0"/>
      <w:marRight w:val="0"/>
      <w:marTop w:val="0"/>
      <w:marBottom w:val="0"/>
      <w:divBdr>
        <w:top w:val="none" w:sz="0" w:space="0" w:color="auto"/>
        <w:left w:val="none" w:sz="0" w:space="0" w:color="auto"/>
        <w:bottom w:val="none" w:sz="0" w:space="0" w:color="auto"/>
        <w:right w:val="none" w:sz="0" w:space="0" w:color="auto"/>
      </w:divBdr>
    </w:div>
    <w:div w:id="1161048191">
      <w:bodyDiv w:val="1"/>
      <w:marLeft w:val="0"/>
      <w:marRight w:val="0"/>
      <w:marTop w:val="0"/>
      <w:marBottom w:val="0"/>
      <w:divBdr>
        <w:top w:val="none" w:sz="0" w:space="0" w:color="auto"/>
        <w:left w:val="none" w:sz="0" w:space="0" w:color="auto"/>
        <w:bottom w:val="none" w:sz="0" w:space="0" w:color="auto"/>
        <w:right w:val="none" w:sz="0" w:space="0" w:color="auto"/>
      </w:divBdr>
    </w:div>
    <w:div w:id="1166550084">
      <w:bodyDiv w:val="1"/>
      <w:marLeft w:val="0"/>
      <w:marRight w:val="0"/>
      <w:marTop w:val="0"/>
      <w:marBottom w:val="0"/>
      <w:divBdr>
        <w:top w:val="none" w:sz="0" w:space="0" w:color="auto"/>
        <w:left w:val="none" w:sz="0" w:space="0" w:color="auto"/>
        <w:bottom w:val="none" w:sz="0" w:space="0" w:color="auto"/>
        <w:right w:val="none" w:sz="0" w:space="0" w:color="auto"/>
      </w:divBdr>
    </w:div>
    <w:div w:id="1166752093">
      <w:bodyDiv w:val="1"/>
      <w:marLeft w:val="0"/>
      <w:marRight w:val="0"/>
      <w:marTop w:val="0"/>
      <w:marBottom w:val="0"/>
      <w:divBdr>
        <w:top w:val="none" w:sz="0" w:space="0" w:color="auto"/>
        <w:left w:val="none" w:sz="0" w:space="0" w:color="auto"/>
        <w:bottom w:val="none" w:sz="0" w:space="0" w:color="auto"/>
        <w:right w:val="none" w:sz="0" w:space="0" w:color="auto"/>
      </w:divBdr>
    </w:div>
    <w:div w:id="1167744441">
      <w:bodyDiv w:val="1"/>
      <w:marLeft w:val="0"/>
      <w:marRight w:val="0"/>
      <w:marTop w:val="0"/>
      <w:marBottom w:val="0"/>
      <w:divBdr>
        <w:top w:val="none" w:sz="0" w:space="0" w:color="auto"/>
        <w:left w:val="none" w:sz="0" w:space="0" w:color="auto"/>
        <w:bottom w:val="none" w:sz="0" w:space="0" w:color="auto"/>
        <w:right w:val="none" w:sz="0" w:space="0" w:color="auto"/>
      </w:divBdr>
    </w:div>
    <w:div w:id="1170218290">
      <w:bodyDiv w:val="1"/>
      <w:marLeft w:val="0"/>
      <w:marRight w:val="0"/>
      <w:marTop w:val="0"/>
      <w:marBottom w:val="0"/>
      <w:divBdr>
        <w:top w:val="none" w:sz="0" w:space="0" w:color="auto"/>
        <w:left w:val="none" w:sz="0" w:space="0" w:color="auto"/>
        <w:bottom w:val="none" w:sz="0" w:space="0" w:color="auto"/>
        <w:right w:val="none" w:sz="0" w:space="0" w:color="auto"/>
      </w:divBdr>
    </w:div>
    <w:div w:id="1172452828">
      <w:bodyDiv w:val="1"/>
      <w:marLeft w:val="0"/>
      <w:marRight w:val="0"/>
      <w:marTop w:val="0"/>
      <w:marBottom w:val="0"/>
      <w:divBdr>
        <w:top w:val="none" w:sz="0" w:space="0" w:color="auto"/>
        <w:left w:val="none" w:sz="0" w:space="0" w:color="auto"/>
        <w:bottom w:val="none" w:sz="0" w:space="0" w:color="auto"/>
        <w:right w:val="none" w:sz="0" w:space="0" w:color="auto"/>
      </w:divBdr>
    </w:div>
    <w:div w:id="1172648479">
      <w:bodyDiv w:val="1"/>
      <w:marLeft w:val="0"/>
      <w:marRight w:val="0"/>
      <w:marTop w:val="0"/>
      <w:marBottom w:val="0"/>
      <w:divBdr>
        <w:top w:val="none" w:sz="0" w:space="0" w:color="auto"/>
        <w:left w:val="none" w:sz="0" w:space="0" w:color="auto"/>
        <w:bottom w:val="none" w:sz="0" w:space="0" w:color="auto"/>
        <w:right w:val="none" w:sz="0" w:space="0" w:color="auto"/>
      </w:divBdr>
    </w:div>
    <w:div w:id="1173494761">
      <w:bodyDiv w:val="1"/>
      <w:marLeft w:val="0"/>
      <w:marRight w:val="0"/>
      <w:marTop w:val="0"/>
      <w:marBottom w:val="0"/>
      <w:divBdr>
        <w:top w:val="none" w:sz="0" w:space="0" w:color="auto"/>
        <w:left w:val="none" w:sz="0" w:space="0" w:color="auto"/>
        <w:bottom w:val="none" w:sz="0" w:space="0" w:color="auto"/>
        <w:right w:val="none" w:sz="0" w:space="0" w:color="auto"/>
      </w:divBdr>
    </w:div>
    <w:div w:id="1178040073">
      <w:bodyDiv w:val="1"/>
      <w:marLeft w:val="0"/>
      <w:marRight w:val="0"/>
      <w:marTop w:val="0"/>
      <w:marBottom w:val="0"/>
      <w:divBdr>
        <w:top w:val="none" w:sz="0" w:space="0" w:color="auto"/>
        <w:left w:val="none" w:sz="0" w:space="0" w:color="auto"/>
        <w:bottom w:val="none" w:sz="0" w:space="0" w:color="auto"/>
        <w:right w:val="none" w:sz="0" w:space="0" w:color="auto"/>
      </w:divBdr>
    </w:div>
    <w:div w:id="1179731453">
      <w:bodyDiv w:val="1"/>
      <w:marLeft w:val="0"/>
      <w:marRight w:val="0"/>
      <w:marTop w:val="0"/>
      <w:marBottom w:val="0"/>
      <w:divBdr>
        <w:top w:val="none" w:sz="0" w:space="0" w:color="auto"/>
        <w:left w:val="none" w:sz="0" w:space="0" w:color="auto"/>
        <w:bottom w:val="none" w:sz="0" w:space="0" w:color="auto"/>
        <w:right w:val="none" w:sz="0" w:space="0" w:color="auto"/>
      </w:divBdr>
    </w:div>
    <w:div w:id="1181314717">
      <w:bodyDiv w:val="1"/>
      <w:marLeft w:val="0"/>
      <w:marRight w:val="0"/>
      <w:marTop w:val="0"/>
      <w:marBottom w:val="0"/>
      <w:divBdr>
        <w:top w:val="none" w:sz="0" w:space="0" w:color="auto"/>
        <w:left w:val="none" w:sz="0" w:space="0" w:color="auto"/>
        <w:bottom w:val="none" w:sz="0" w:space="0" w:color="auto"/>
        <w:right w:val="none" w:sz="0" w:space="0" w:color="auto"/>
      </w:divBdr>
    </w:div>
    <w:div w:id="1183472376">
      <w:bodyDiv w:val="1"/>
      <w:marLeft w:val="0"/>
      <w:marRight w:val="0"/>
      <w:marTop w:val="0"/>
      <w:marBottom w:val="0"/>
      <w:divBdr>
        <w:top w:val="none" w:sz="0" w:space="0" w:color="auto"/>
        <w:left w:val="none" w:sz="0" w:space="0" w:color="auto"/>
        <w:bottom w:val="none" w:sz="0" w:space="0" w:color="auto"/>
        <w:right w:val="none" w:sz="0" w:space="0" w:color="auto"/>
      </w:divBdr>
    </w:div>
    <w:div w:id="1185098938">
      <w:bodyDiv w:val="1"/>
      <w:marLeft w:val="0"/>
      <w:marRight w:val="0"/>
      <w:marTop w:val="0"/>
      <w:marBottom w:val="0"/>
      <w:divBdr>
        <w:top w:val="none" w:sz="0" w:space="0" w:color="auto"/>
        <w:left w:val="none" w:sz="0" w:space="0" w:color="auto"/>
        <w:bottom w:val="none" w:sz="0" w:space="0" w:color="auto"/>
        <w:right w:val="none" w:sz="0" w:space="0" w:color="auto"/>
      </w:divBdr>
    </w:div>
    <w:div w:id="1191920275">
      <w:bodyDiv w:val="1"/>
      <w:marLeft w:val="0"/>
      <w:marRight w:val="0"/>
      <w:marTop w:val="0"/>
      <w:marBottom w:val="0"/>
      <w:divBdr>
        <w:top w:val="none" w:sz="0" w:space="0" w:color="auto"/>
        <w:left w:val="none" w:sz="0" w:space="0" w:color="auto"/>
        <w:bottom w:val="none" w:sz="0" w:space="0" w:color="auto"/>
        <w:right w:val="none" w:sz="0" w:space="0" w:color="auto"/>
      </w:divBdr>
    </w:div>
    <w:div w:id="1193105941">
      <w:bodyDiv w:val="1"/>
      <w:marLeft w:val="0"/>
      <w:marRight w:val="0"/>
      <w:marTop w:val="0"/>
      <w:marBottom w:val="0"/>
      <w:divBdr>
        <w:top w:val="none" w:sz="0" w:space="0" w:color="auto"/>
        <w:left w:val="none" w:sz="0" w:space="0" w:color="auto"/>
        <w:bottom w:val="none" w:sz="0" w:space="0" w:color="auto"/>
        <w:right w:val="none" w:sz="0" w:space="0" w:color="auto"/>
      </w:divBdr>
    </w:div>
    <w:div w:id="1194149159">
      <w:bodyDiv w:val="1"/>
      <w:marLeft w:val="0"/>
      <w:marRight w:val="0"/>
      <w:marTop w:val="0"/>
      <w:marBottom w:val="0"/>
      <w:divBdr>
        <w:top w:val="none" w:sz="0" w:space="0" w:color="auto"/>
        <w:left w:val="none" w:sz="0" w:space="0" w:color="auto"/>
        <w:bottom w:val="none" w:sz="0" w:space="0" w:color="auto"/>
        <w:right w:val="none" w:sz="0" w:space="0" w:color="auto"/>
      </w:divBdr>
    </w:div>
    <w:div w:id="1194683842">
      <w:bodyDiv w:val="1"/>
      <w:marLeft w:val="0"/>
      <w:marRight w:val="0"/>
      <w:marTop w:val="0"/>
      <w:marBottom w:val="0"/>
      <w:divBdr>
        <w:top w:val="none" w:sz="0" w:space="0" w:color="auto"/>
        <w:left w:val="none" w:sz="0" w:space="0" w:color="auto"/>
        <w:bottom w:val="none" w:sz="0" w:space="0" w:color="auto"/>
        <w:right w:val="none" w:sz="0" w:space="0" w:color="auto"/>
      </w:divBdr>
    </w:div>
    <w:div w:id="1197932948">
      <w:bodyDiv w:val="1"/>
      <w:marLeft w:val="0"/>
      <w:marRight w:val="0"/>
      <w:marTop w:val="0"/>
      <w:marBottom w:val="0"/>
      <w:divBdr>
        <w:top w:val="none" w:sz="0" w:space="0" w:color="auto"/>
        <w:left w:val="none" w:sz="0" w:space="0" w:color="auto"/>
        <w:bottom w:val="none" w:sz="0" w:space="0" w:color="auto"/>
        <w:right w:val="none" w:sz="0" w:space="0" w:color="auto"/>
      </w:divBdr>
    </w:div>
    <w:div w:id="1198662015">
      <w:bodyDiv w:val="1"/>
      <w:marLeft w:val="0"/>
      <w:marRight w:val="0"/>
      <w:marTop w:val="0"/>
      <w:marBottom w:val="0"/>
      <w:divBdr>
        <w:top w:val="none" w:sz="0" w:space="0" w:color="auto"/>
        <w:left w:val="none" w:sz="0" w:space="0" w:color="auto"/>
        <w:bottom w:val="none" w:sz="0" w:space="0" w:color="auto"/>
        <w:right w:val="none" w:sz="0" w:space="0" w:color="auto"/>
      </w:divBdr>
    </w:div>
    <w:div w:id="1199929405">
      <w:bodyDiv w:val="1"/>
      <w:marLeft w:val="0"/>
      <w:marRight w:val="0"/>
      <w:marTop w:val="0"/>
      <w:marBottom w:val="0"/>
      <w:divBdr>
        <w:top w:val="none" w:sz="0" w:space="0" w:color="auto"/>
        <w:left w:val="none" w:sz="0" w:space="0" w:color="auto"/>
        <w:bottom w:val="none" w:sz="0" w:space="0" w:color="auto"/>
        <w:right w:val="none" w:sz="0" w:space="0" w:color="auto"/>
      </w:divBdr>
    </w:div>
    <w:div w:id="1203131421">
      <w:bodyDiv w:val="1"/>
      <w:marLeft w:val="0"/>
      <w:marRight w:val="0"/>
      <w:marTop w:val="0"/>
      <w:marBottom w:val="0"/>
      <w:divBdr>
        <w:top w:val="none" w:sz="0" w:space="0" w:color="auto"/>
        <w:left w:val="none" w:sz="0" w:space="0" w:color="auto"/>
        <w:bottom w:val="none" w:sz="0" w:space="0" w:color="auto"/>
        <w:right w:val="none" w:sz="0" w:space="0" w:color="auto"/>
      </w:divBdr>
    </w:div>
    <w:div w:id="1203372410">
      <w:bodyDiv w:val="1"/>
      <w:marLeft w:val="0"/>
      <w:marRight w:val="0"/>
      <w:marTop w:val="0"/>
      <w:marBottom w:val="0"/>
      <w:divBdr>
        <w:top w:val="none" w:sz="0" w:space="0" w:color="auto"/>
        <w:left w:val="none" w:sz="0" w:space="0" w:color="auto"/>
        <w:bottom w:val="none" w:sz="0" w:space="0" w:color="auto"/>
        <w:right w:val="none" w:sz="0" w:space="0" w:color="auto"/>
      </w:divBdr>
    </w:div>
    <w:div w:id="1210607347">
      <w:bodyDiv w:val="1"/>
      <w:marLeft w:val="0"/>
      <w:marRight w:val="0"/>
      <w:marTop w:val="0"/>
      <w:marBottom w:val="0"/>
      <w:divBdr>
        <w:top w:val="none" w:sz="0" w:space="0" w:color="auto"/>
        <w:left w:val="none" w:sz="0" w:space="0" w:color="auto"/>
        <w:bottom w:val="none" w:sz="0" w:space="0" w:color="auto"/>
        <w:right w:val="none" w:sz="0" w:space="0" w:color="auto"/>
      </w:divBdr>
    </w:div>
    <w:div w:id="1210611350">
      <w:bodyDiv w:val="1"/>
      <w:marLeft w:val="0"/>
      <w:marRight w:val="0"/>
      <w:marTop w:val="0"/>
      <w:marBottom w:val="0"/>
      <w:divBdr>
        <w:top w:val="none" w:sz="0" w:space="0" w:color="auto"/>
        <w:left w:val="none" w:sz="0" w:space="0" w:color="auto"/>
        <w:bottom w:val="none" w:sz="0" w:space="0" w:color="auto"/>
        <w:right w:val="none" w:sz="0" w:space="0" w:color="auto"/>
      </w:divBdr>
    </w:div>
    <w:div w:id="1214467699">
      <w:bodyDiv w:val="1"/>
      <w:marLeft w:val="0"/>
      <w:marRight w:val="0"/>
      <w:marTop w:val="0"/>
      <w:marBottom w:val="0"/>
      <w:divBdr>
        <w:top w:val="none" w:sz="0" w:space="0" w:color="auto"/>
        <w:left w:val="none" w:sz="0" w:space="0" w:color="auto"/>
        <w:bottom w:val="none" w:sz="0" w:space="0" w:color="auto"/>
        <w:right w:val="none" w:sz="0" w:space="0" w:color="auto"/>
      </w:divBdr>
    </w:div>
    <w:div w:id="1215778961">
      <w:bodyDiv w:val="1"/>
      <w:marLeft w:val="0"/>
      <w:marRight w:val="0"/>
      <w:marTop w:val="0"/>
      <w:marBottom w:val="0"/>
      <w:divBdr>
        <w:top w:val="none" w:sz="0" w:space="0" w:color="auto"/>
        <w:left w:val="none" w:sz="0" w:space="0" w:color="auto"/>
        <w:bottom w:val="none" w:sz="0" w:space="0" w:color="auto"/>
        <w:right w:val="none" w:sz="0" w:space="0" w:color="auto"/>
      </w:divBdr>
    </w:div>
    <w:div w:id="1220435593">
      <w:bodyDiv w:val="1"/>
      <w:marLeft w:val="0"/>
      <w:marRight w:val="0"/>
      <w:marTop w:val="0"/>
      <w:marBottom w:val="0"/>
      <w:divBdr>
        <w:top w:val="none" w:sz="0" w:space="0" w:color="auto"/>
        <w:left w:val="none" w:sz="0" w:space="0" w:color="auto"/>
        <w:bottom w:val="none" w:sz="0" w:space="0" w:color="auto"/>
        <w:right w:val="none" w:sz="0" w:space="0" w:color="auto"/>
      </w:divBdr>
    </w:div>
    <w:div w:id="1222326106">
      <w:bodyDiv w:val="1"/>
      <w:marLeft w:val="0"/>
      <w:marRight w:val="0"/>
      <w:marTop w:val="0"/>
      <w:marBottom w:val="0"/>
      <w:divBdr>
        <w:top w:val="none" w:sz="0" w:space="0" w:color="auto"/>
        <w:left w:val="none" w:sz="0" w:space="0" w:color="auto"/>
        <w:bottom w:val="none" w:sz="0" w:space="0" w:color="auto"/>
        <w:right w:val="none" w:sz="0" w:space="0" w:color="auto"/>
      </w:divBdr>
    </w:div>
    <w:div w:id="1223326194">
      <w:bodyDiv w:val="1"/>
      <w:marLeft w:val="0"/>
      <w:marRight w:val="0"/>
      <w:marTop w:val="0"/>
      <w:marBottom w:val="0"/>
      <w:divBdr>
        <w:top w:val="none" w:sz="0" w:space="0" w:color="auto"/>
        <w:left w:val="none" w:sz="0" w:space="0" w:color="auto"/>
        <w:bottom w:val="none" w:sz="0" w:space="0" w:color="auto"/>
        <w:right w:val="none" w:sz="0" w:space="0" w:color="auto"/>
      </w:divBdr>
    </w:div>
    <w:div w:id="1227181337">
      <w:bodyDiv w:val="1"/>
      <w:marLeft w:val="0"/>
      <w:marRight w:val="0"/>
      <w:marTop w:val="0"/>
      <w:marBottom w:val="0"/>
      <w:divBdr>
        <w:top w:val="none" w:sz="0" w:space="0" w:color="auto"/>
        <w:left w:val="none" w:sz="0" w:space="0" w:color="auto"/>
        <w:bottom w:val="none" w:sz="0" w:space="0" w:color="auto"/>
        <w:right w:val="none" w:sz="0" w:space="0" w:color="auto"/>
      </w:divBdr>
    </w:div>
    <w:div w:id="1227565137">
      <w:bodyDiv w:val="1"/>
      <w:marLeft w:val="0"/>
      <w:marRight w:val="0"/>
      <w:marTop w:val="0"/>
      <w:marBottom w:val="0"/>
      <w:divBdr>
        <w:top w:val="none" w:sz="0" w:space="0" w:color="auto"/>
        <w:left w:val="none" w:sz="0" w:space="0" w:color="auto"/>
        <w:bottom w:val="none" w:sz="0" w:space="0" w:color="auto"/>
        <w:right w:val="none" w:sz="0" w:space="0" w:color="auto"/>
      </w:divBdr>
    </w:div>
    <w:div w:id="1227914049">
      <w:bodyDiv w:val="1"/>
      <w:marLeft w:val="0"/>
      <w:marRight w:val="0"/>
      <w:marTop w:val="0"/>
      <w:marBottom w:val="0"/>
      <w:divBdr>
        <w:top w:val="none" w:sz="0" w:space="0" w:color="auto"/>
        <w:left w:val="none" w:sz="0" w:space="0" w:color="auto"/>
        <w:bottom w:val="none" w:sz="0" w:space="0" w:color="auto"/>
        <w:right w:val="none" w:sz="0" w:space="0" w:color="auto"/>
      </w:divBdr>
    </w:div>
    <w:div w:id="1228805424">
      <w:bodyDiv w:val="1"/>
      <w:marLeft w:val="0"/>
      <w:marRight w:val="0"/>
      <w:marTop w:val="0"/>
      <w:marBottom w:val="0"/>
      <w:divBdr>
        <w:top w:val="none" w:sz="0" w:space="0" w:color="auto"/>
        <w:left w:val="none" w:sz="0" w:space="0" w:color="auto"/>
        <w:bottom w:val="none" w:sz="0" w:space="0" w:color="auto"/>
        <w:right w:val="none" w:sz="0" w:space="0" w:color="auto"/>
      </w:divBdr>
    </w:div>
    <w:div w:id="1231385171">
      <w:bodyDiv w:val="1"/>
      <w:marLeft w:val="0"/>
      <w:marRight w:val="0"/>
      <w:marTop w:val="0"/>
      <w:marBottom w:val="0"/>
      <w:divBdr>
        <w:top w:val="none" w:sz="0" w:space="0" w:color="auto"/>
        <w:left w:val="none" w:sz="0" w:space="0" w:color="auto"/>
        <w:bottom w:val="none" w:sz="0" w:space="0" w:color="auto"/>
        <w:right w:val="none" w:sz="0" w:space="0" w:color="auto"/>
      </w:divBdr>
    </w:div>
    <w:div w:id="1232354438">
      <w:bodyDiv w:val="1"/>
      <w:marLeft w:val="0"/>
      <w:marRight w:val="0"/>
      <w:marTop w:val="0"/>
      <w:marBottom w:val="0"/>
      <w:divBdr>
        <w:top w:val="none" w:sz="0" w:space="0" w:color="auto"/>
        <w:left w:val="none" w:sz="0" w:space="0" w:color="auto"/>
        <w:bottom w:val="none" w:sz="0" w:space="0" w:color="auto"/>
        <w:right w:val="none" w:sz="0" w:space="0" w:color="auto"/>
      </w:divBdr>
    </w:div>
    <w:div w:id="1233659232">
      <w:bodyDiv w:val="1"/>
      <w:marLeft w:val="0"/>
      <w:marRight w:val="0"/>
      <w:marTop w:val="0"/>
      <w:marBottom w:val="0"/>
      <w:divBdr>
        <w:top w:val="none" w:sz="0" w:space="0" w:color="auto"/>
        <w:left w:val="none" w:sz="0" w:space="0" w:color="auto"/>
        <w:bottom w:val="none" w:sz="0" w:space="0" w:color="auto"/>
        <w:right w:val="none" w:sz="0" w:space="0" w:color="auto"/>
      </w:divBdr>
    </w:div>
    <w:div w:id="1234194439">
      <w:bodyDiv w:val="1"/>
      <w:marLeft w:val="0"/>
      <w:marRight w:val="0"/>
      <w:marTop w:val="0"/>
      <w:marBottom w:val="0"/>
      <w:divBdr>
        <w:top w:val="none" w:sz="0" w:space="0" w:color="auto"/>
        <w:left w:val="none" w:sz="0" w:space="0" w:color="auto"/>
        <w:bottom w:val="none" w:sz="0" w:space="0" w:color="auto"/>
        <w:right w:val="none" w:sz="0" w:space="0" w:color="auto"/>
      </w:divBdr>
    </w:div>
    <w:div w:id="1235240124">
      <w:bodyDiv w:val="1"/>
      <w:marLeft w:val="0"/>
      <w:marRight w:val="0"/>
      <w:marTop w:val="0"/>
      <w:marBottom w:val="0"/>
      <w:divBdr>
        <w:top w:val="none" w:sz="0" w:space="0" w:color="auto"/>
        <w:left w:val="none" w:sz="0" w:space="0" w:color="auto"/>
        <w:bottom w:val="none" w:sz="0" w:space="0" w:color="auto"/>
        <w:right w:val="none" w:sz="0" w:space="0" w:color="auto"/>
      </w:divBdr>
    </w:div>
    <w:div w:id="1235313759">
      <w:bodyDiv w:val="1"/>
      <w:marLeft w:val="0"/>
      <w:marRight w:val="0"/>
      <w:marTop w:val="0"/>
      <w:marBottom w:val="0"/>
      <w:divBdr>
        <w:top w:val="none" w:sz="0" w:space="0" w:color="auto"/>
        <w:left w:val="none" w:sz="0" w:space="0" w:color="auto"/>
        <w:bottom w:val="none" w:sz="0" w:space="0" w:color="auto"/>
        <w:right w:val="none" w:sz="0" w:space="0" w:color="auto"/>
      </w:divBdr>
    </w:div>
    <w:div w:id="1237012795">
      <w:bodyDiv w:val="1"/>
      <w:marLeft w:val="0"/>
      <w:marRight w:val="0"/>
      <w:marTop w:val="0"/>
      <w:marBottom w:val="0"/>
      <w:divBdr>
        <w:top w:val="none" w:sz="0" w:space="0" w:color="auto"/>
        <w:left w:val="none" w:sz="0" w:space="0" w:color="auto"/>
        <w:bottom w:val="none" w:sz="0" w:space="0" w:color="auto"/>
        <w:right w:val="none" w:sz="0" w:space="0" w:color="auto"/>
      </w:divBdr>
    </w:div>
    <w:div w:id="1238514723">
      <w:bodyDiv w:val="1"/>
      <w:marLeft w:val="0"/>
      <w:marRight w:val="0"/>
      <w:marTop w:val="0"/>
      <w:marBottom w:val="0"/>
      <w:divBdr>
        <w:top w:val="none" w:sz="0" w:space="0" w:color="auto"/>
        <w:left w:val="none" w:sz="0" w:space="0" w:color="auto"/>
        <w:bottom w:val="none" w:sz="0" w:space="0" w:color="auto"/>
        <w:right w:val="none" w:sz="0" w:space="0" w:color="auto"/>
      </w:divBdr>
    </w:div>
    <w:div w:id="1240165858">
      <w:bodyDiv w:val="1"/>
      <w:marLeft w:val="0"/>
      <w:marRight w:val="0"/>
      <w:marTop w:val="0"/>
      <w:marBottom w:val="0"/>
      <w:divBdr>
        <w:top w:val="none" w:sz="0" w:space="0" w:color="auto"/>
        <w:left w:val="none" w:sz="0" w:space="0" w:color="auto"/>
        <w:bottom w:val="none" w:sz="0" w:space="0" w:color="auto"/>
        <w:right w:val="none" w:sz="0" w:space="0" w:color="auto"/>
      </w:divBdr>
    </w:div>
    <w:div w:id="1240752196">
      <w:bodyDiv w:val="1"/>
      <w:marLeft w:val="0"/>
      <w:marRight w:val="0"/>
      <w:marTop w:val="0"/>
      <w:marBottom w:val="0"/>
      <w:divBdr>
        <w:top w:val="none" w:sz="0" w:space="0" w:color="auto"/>
        <w:left w:val="none" w:sz="0" w:space="0" w:color="auto"/>
        <w:bottom w:val="none" w:sz="0" w:space="0" w:color="auto"/>
        <w:right w:val="none" w:sz="0" w:space="0" w:color="auto"/>
      </w:divBdr>
    </w:div>
    <w:div w:id="1243678692">
      <w:bodyDiv w:val="1"/>
      <w:marLeft w:val="0"/>
      <w:marRight w:val="0"/>
      <w:marTop w:val="0"/>
      <w:marBottom w:val="0"/>
      <w:divBdr>
        <w:top w:val="none" w:sz="0" w:space="0" w:color="auto"/>
        <w:left w:val="none" w:sz="0" w:space="0" w:color="auto"/>
        <w:bottom w:val="none" w:sz="0" w:space="0" w:color="auto"/>
        <w:right w:val="none" w:sz="0" w:space="0" w:color="auto"/>
      </w:divBdr>
    </w:div>
    <w:div w:id="1244414324">
      <w:bodyDiv w:val="1"/>
      <w:marLeft w:val="0"/>
      <w:marRight w:val="0"/>
      <w:marTop w:val="0"/>
      <w:marBottom w:val="0"/>
      <w:divBdr>
        <w:top w:val="none" w:sz="0" w:space="0" w:color="auto"/>
        <w:left w:val="none" w:sz="0" w:space="0" w:color="auto"/>
        <w:bottom w:val="none" w:sz="0" w:space="0" w:color="auto"/>
        <w:right w:val="none" w:sz="0" w:space="0" w:color="auto"/>
      </w:divBdr>
    </w:div>
    <w:div w:id="1244490883">
      <w:bodyDiv w:val="1"/>
      <w:marLeft w:val="0"/>
      <w:marRight w:val="0"/>
      <w:marTop w:val="0"/>
      <w:marBottom w:val="0"/>
      <w:divBdr>
        <w:top w:val="none" w:sz="0" w:space="0" w:color="auto"/>
        <w:left w:val="none" w:sz="0" w:space="0" w:color="auto"/>
        <w:bottom w:val="none" w:sz="0" w:space="0" w:color="auto"/>
        <w:right w:val="none" w:sz="0" w:space="0" w:color="auto"/>
      </w:divBdr>
    </w:div>
    <w:div w:id="1244989908">
      <w:bodyDiv w:val="1"/>
      <w:marLeft w:val="0"/>
      <w:marRight w:val="0"/>
      <w:marTop w:val="0"/>
      <w:marBottom w:val="0"/>
      <w:divBdr>
        <w:top w:val="none" w:sz="0" w:space="0" w:color="auto"/>
        <w:left w:val="none" w:sz="0" w:space="0" w:color="auto"/>
        <w:bottom w:val="none" w:sz="0" w:space="0" w:color="auto"/>
        <w:right w:val="none" w:sz="0" w:space="0" w:color="auto"/>
      </w:divBdr>
    </w:div>
    <w:div w:id="1251889785">
      <w:bodyDiv w:val="1"/>
      <w:marLeft w:val="0"/>
      <w:marRight w:val="0"/>
      <w:marTop w:val="0"/>
      <w:marBottom w:val="0"/>
      <w:divBdr>
        <w:top w:val="none" w:sz="0" w:space="0" w:color="auto"/>
        <w:left w:val="none" w:sz="0" w:space="0" w:color="auto"/>
        <w:bottom w:val="none" w:sz="0" w:space="0" w:color="auto"/>
        <w:right w:val="none" w:sz="0" w:space="0" w:color="auto"/>
      </w:divBdr>
    </w:div>
    <w:div w:id="1252199050">
      <w:bodyDiv w:val="1"/>
      <w:marLeft w:val="0"/>
      <w:marRight w:val="0"/>
      <w:marTop w:val="0"/>
      <w:marBottom w:val="0"/>
      <w:divBdr>
        <w:top w:val="none" w:sz="0" w:space="0" w:color="auto"/>
        <w:left w:val="none" w:sz="0" w:space="0" w:color="auto"/>
        <w:bottom w:val="none" w:sz="0" w:space="0" w:color="auto"/>
        <w:right w:val="none" w:sz="0" w:space="0" w:color="auto"/>
      </w:divBdr>
    </w:div>
    <w:div w:id="1252278123">
      <w:bodyDiv w:val="1"/>
      <w:marLeft w:val="0"/>
      <w:marRight w:val="0"/>
      <w:marTop w:val="0"/>
      <w:marBottom w:val="0"/>
      <w:divBdr>
        <w:top w:val="none" w:sz="0" w:space="0" w:color="auto"/>
        <w:left w:val="none" w:sz="0" w:space="0" w:color="auto"/>
        <w:bottom w:val="none" w:sz="0" w:space="0" w:color="auto"/>
        <w:right w:val="none" w:sz="0" w:space="0" w:color="auto"/>
      </w:divBdr>
    </w:div>
    <w:div w:id="1252469264">
      <w:bodyDiv w:val="1"/>
      <w:marLeft w:val="0"/>
      <w:marRight w:val="0"/>
      <w:marTop w:val="0"/>
      <w:marBottom w:val="0"/>
      <w:divBdr>
        <w:top w:val="none" w:sz="0" w:space="0" w:color="auto"/>
        <w:left w:val="none" w:sz="0" w:space="0" w:color="auto"/>
        <w:bottom w:val="none" w:sz="0" w:space="0" w:color="auto"/>
        <w:right w:val="none" w:sz="0" w:space="0" w:color="auto"/>
      </w:divBdr>
    </w:div>
    <w:div w:id="1257252221">
      <w:bodyDiv w:val="1"/>
      <w:marLeft w:val="0"/>
      <w:marRight w:val="0"/>
      <w:marTop w:val="0"/>
      <w:marBottom w:val="0"/>
      <w:divBdr>
        <w:top w:val="none" w:sz="0" w:space="0" w:color="auto"/>
        <w:left w:val="none" w:sz="0" w:space="0" w:color="auto"/>
        <w:bottom w:val="none" w:sz="0" w:space="0" w:color="auto"/>
        <w:right w:val="none" w:sz="0" w:space="0" w:color="auto"/>
      </w:divBdr>
    </w:div>
    <w:div w:id="1258635145">
      <w:bodyDiv w:val="1"/>
      <w:marLeft w:val="0"/>
      <w:marRight w:val="0"/>
      <w:marTop w:val="0"/>
      <w:marBottom w:val="0"/>
      <w:divBdr>
        <w:top w:val="none" w:sz="0" w:space="0" w:color="auto"/>
        <w:left w:val="none" w:sz="0" w:space="0" w:color="auto"/>
        <w:bottom w:val="none" w:sz="0" w:space="0" w:color="auto"/>
        <w:right w:val="none" w:sz="0" w:space="0" w:color="auto"/>
      </w:divBdr>
    </w:div>
    <w:div w:id="1258978534">
      <w:bodyDiv w:val="1"/>
      <w:marLeft w:val="0"/>
      <w:marRight w:val="0"/>
      <w:marTop w:val="0"/>
      <w:marBottom w:val="0"/>
      <w:divBdr>
        <w:top w:val="none" w:sz="0" w:space="0" w:color="auto"/>
        <w:left w:val="none" w:sz="0" w:space="0" w:color="auto"/>
        <w:bottom w:val="none" w:sz="0" w:space="0" w:color="auto"/>
        <w:right w:val="none" w:sz="0" w:space="0" w:color="auto"/>
      </w:divBdr>
    </w:div>
    <w:div w:id="1259950510">
      <w:bodyDiv w:val="1"/>
      <w:marLeft w:val="0"/>
      <w:marRight w:val="0"/>
      <w:marTop w:val="0"/>
      <w:marBottom w:val="0"/>
      <w:divBdr>
        <w:top w:val="none" w:sz="0" w:space="0" w:color="auto"/>
        <w:left w:val="none" w:sz="0" w:space="0" w:color="auto"/>
        <w:bottom w:val="none" w:sz="0" w:space="0" w:color="auto"/>
        <w:right w:val="none" w:sz="0" w:space="0" w:color="auto"/>
      </w:divBdr>
    </w:div>
    <w:div w:id="1260139477">
      <w:bodyDiv w:val="1"/>
      <w:marLeft w:val="0"/>
      <w:marRight w:val="0"/>
      <w:marTop w:val="0"/>
      <w:marBottom w:val="0"/>
      <w:divBdr>
        <w:top w:val="none" w:sz="0" w:space="0" w:color="auto"/>
        <w:left w:val="none" w:sz="0" w:space="0" w:color="auto"/>
        <w:bottom w:val="none" w:sz="0" w:space="0" w:color="auto"/>
        <w:right w:val="none" w:sz="0" w:space="0" w:color="auto"/>
      </w:divBdr>
    </w:div>
    <w:div w:id="1260409213">
      <w:bodyDiv w:val="1"/>
      <w:marLeft w:val="0"/>
      <w:marRight w:val="0"/>
      <w:marTop w:val="0"/>
      <w:marBottom w:val="0"/>
      <w:divBdr>
        <w:top w:val="none" w:sz="0" w:space="0" w:color="auto"/>
        <w:left w:val="none" w:sz="0" w:space="0" w:color="auto"/>
        <w:bottom w:val="none" w:sz="0" w:space="0" w:color="auto"/>
        <w:right w:val="none" w:sz="0" w:space="0" w:color="auto"/>
      </w:divBdr>
    </w:div>
    <w:div w:id="1263225415">
      <w:bodyDiv w:val="1"/>
      <w:marLeft w:val="0"/>
      <w:marRight w:val="0"/>
      <w:marTop w:val="0"/>
      <w:marBottom w:val="0"/>
      <w:divBdr>
        <w:top w:val="none" w:sz="0" w:space="0" w:color="auto"/>
        <w:left w:val="none" w:sz="0" w:space="0" w:color="auto"/>
        <w:bottom w:val="none" w:sz="0" w:space="0" w:color="auto"/>
        <w:right w:val="none" w:sz="0" w:space="0" w:color="auto"/>
      </w:divBdr>
    </w:div>
    <w:div w:id="1265069425">
      <w:bodyDiv w:val="1"/>
      <w:marLeft w:val="0"/>
      <w:marRight w:val="0"/>
      <w:marTop w:val="0"/>
      <w:marBottom w:val="0"/>
      <w:divBdr>
        <w:top w:val="none" w:sz="0" w:space="0" w:color="auto"/>
        <w:left w:val="none" w:sz="0" w:space="0" w:color="auto"/>
        <w:bottom w:val="none" w:sz="0" w:space="0" w:color="auto"/>
        <w:right w:val="none" w:sz="0" w:space="0" w:color="auto"/>
      </w:divBdr>
    </w:div>
    <w:div w:id="1265185582">
      <w:bodyDiv w:val="1"/>
      <w:marLeft w:val="0"/>
      <w:marRight w:val="0"/>
      <w:marTop w:val="0"/>
      <w:marBottom w:val="0"/>
      <w:divBdr>
        <w:top w:val="none" w:sz="0" w:space="0" w:color="auto"/>
        <w:left w:val="none" w:sz="0" w:space="0" w:color="auto"/>
        <w:bottom w:val="none" w:sz="0" w:space="0" w:color="auto"/>
        <w:right w:val="none" w:sz="0" w:space="0" w:color="auto"/>
      </w:divBdr>
    </w:div>
    <w:div w:id="1265576623">
      <w:bodyDiv w:val="1"/>
      <w:marLeft w:val="0"/>
      <w:marRight w:val="0"/>
      <w:marTop w:val="0"/>
      <w:marBottom w:val="0"/>
      <w:divBdr>
        <w:top w:val="none" w:sz="0" w:space="0" w:color="auto"/>
        <w:left w:val="none" w:sz="0" w:space="0" w:color="auto"/>
        <w:bottom w:val="none" w:sz="0" w:space="0" w:color="auto"/>
        <w:right w:val="none" w:sz="0" w:space="0" w:color="auto"/>
      </w:divBdr>
    </w:div>
    <w:div w:id="1266229346">
      <w:bodyDiv w:val="1"/>
      <w:marLeft w:val="0"/>
      <w:marRight w:val="0"/>
      <w:marTop w:val="0"/>
      <w:marBottom w:val="0"/>
      <w:divBdr>
        <w:top w:val="none" w:sz="0" w:space="0" w:color="auto"/>
        <w:left w:val="none" w:sz="0" w:space="0" w:color="auto"/>
        <w:bottom w:val="none" w:sz="0" w:space="0" w:color="auto"/>
        <w:right w:val="none" w:sz="0" w:space="0" w:color="auto"/>
      </w:divBdr>
    </w:div>
    <w:div w:id="1267807572">
      <w:bodyDiv w:val="1"/>
      <w:marLeft w:val="0"/>
      <w:marRight w:val="0"/>
      <w:marTop w:val="0"/>
      <w:marBottom w:val="0"/>
      <w:divBdr>
        <w:top w:val="none" w:sz="0" w:space="0" w:color="auto"/>
        <w:left w:val="none" w:sz="0" w:space="0" w:color="auto"/>
        <w:bottom w:val="none" w:sz="0" w:space="0" w:color="auto"/>
        <w:right w:val="none" w:sz="0" w:space="0" w:color="auto"/>
      </w:divBdr>
    </w:div>
    <w:div w:id="1268193119">
      <w:bodyDiv w:val="1"/>
      <w:marLeft w:val="0"/>
      <w:marRight w:val="0"/>
      <w:marTop w:val="0"/>
      <w:marBottom w:val="0"/>
      <w:divBdr>
        <w:top w:val="none" w:sz="0" w:space="0" w:color="auto"/>
        <w:left w:val="none" w:sz="0" w:space="0" w:color="auto"/>
        <w:bottom w:val="none" w:sz="0" w:space="0" w:color="auto"/>
        <w:right w:val="none" w:sz="0" w:space="0" w:color="auto"/>
      </w:divBdr>
    </w:div>
    <w:div w:id="1274900988">
      <w:bodyDiv w:val="1"/>
      <w:marLeft w:val="0"/>
      <w:marRight w:val="0"/>
      <w:marTop w:val="0"/>
      <w:marBottom w:val="0"/>
      <w:divBdr>
        <w:top w:val="none" w:sz="0" w:space="0" w:color="auto"/>
        <w:left w:val="none" w:sz="0" w:space="0" w:color="auto"/>
        <w:bottom w:val="none" w:sz="0" w:space="0" w:color="auto"/>
        <w:right w:val="none" w:sz="0" w:space="0" w:color="auto"/>
      </w:divBdr>
    </w:div>
    <w:div w:id="1275821184">
      <w:bodyDiv w:val="1"/>
      <w:marLeft w:val="0"/>
      <w:marRight w:val="0"/>
      <w:marTop w:val="0"/>
      <w:marBottom w:val="0"/>
      <w:divBdr>
        <w:top w:val="none" w:sz="0" w:space="0" w:color="auto"/>
        <w:left w:val="none" w:sz="0" w:space="0" w:color="auto"/>
        <w:bottom w:val="none" w:sz="0" w:space="0" w:color="auto"/>
        <w:right w:val="none" w:sz="0" w:space="0" w:color="auto"/>
      </w:divBdr>
    </w:div>
    <w:div w:id="1276212968">
      <w:bodyDiv w:val="1"/>
      <w:marLeft w:val="0"/>
      <w:marRight w:val="0"/>
      <w:marTop w:val="0"/>
      <w:marBottom w:val="0"/>
      <w:divBdr>
        <w:top w:val="none" w:sz="0" w:space="0" w:color="auto"/>
        <w:left w:val="none" w:sz="0" w:space="0" w:color="auto"/>
        <w:bottom w:val="none" w:sz="0" w:space="0" w:color="auto"/>
        <w:right w:val="none" w:sz="0" w:space="0" w:color="auto"/>
      </w:divBdr>
    </w:div>
    <w:div w:id="1277366309">
      <w:bodyDiv w:val="1"/>
      <w:marLeft w:val="0"/>
      <w:marRight w:val="0"/>
      <w:marTop w:val="0"/>
      <w:marBottom w:val="0"/>
      <w:divBdr>
        <w:top w:val="none" w:sz="0" w:space="0" w:color="auto"/>
        <w:left w:val="none" w:sz="0" w:space="0" w:color="auto"/>
        <w:bottom w:val="none" w:sz="0" w:space="0" w:color="auto"/>
        <w:right w:val="none" w:sz="0" w:space="0" w:color="auto"/>
      </w:divBdr>
    </w:div>
    <w:div w:id="1279262833">
      <w:bodyDiv w:val="1"/>
      <w:marLeft w:val="0"/>
      <w:marRight w:val="0"/>
      <w:marTop w:val="0"/>
      <w:marBottom w:val="0"/>
      <w:divBdr>
        <w:top w:val="none" w:sz="0" w:space="0" w:color="auto"/>
        <w:left w:val="none" w:sz="0" w:space="0" w:color="auto"/>
        <w:bottom w:val="none" w:sz="0" w:space="0" w:color="auto"/>
        <w:right w:val="none" w:sz="0" w:space="0" w:color="auto"/>
      </w:divBdr>
    </w:div>
    <w:div w:id="1280256804">
      <w:bodyDiv w:val="1"/>
      <w:marLeft w:val="0"/>
      <w:marRight w:val="0"/>
      <w:marTop w:val="0"/>
      <w:marBottom w:val="0"/>
      <w:divBdr>
        <w:top w:val="none" w:sz="0" w:space="0" w:color="auto"/>
        <w:left w:val="none" w:sz="0" w:space="0" w:color="auto"/>
        <w:bottom w:val="none" w:sz="0" w:space="0" w:color="auto"/>
        <w:right w:val="none" w:sz="0" w:space="0" w:color="auto"/>
      </w:divBdr>
    </w:div>
    <w:div w:id="1285885709">
      <w:bodyDiv w:val="1"/>
      <w:marLeft w:val="0"/>
      <w:marRight w:val="0"/>
      <w:marTop w:val="0"/>
      <w:marBottom w:val="0"/>
      <w:divBdr>
        <w:top w:val="none" w:sz="0" w:space="0" w:color="auto"/>
        <w:left w:val="none" w:sz="0" w:space="0" w:color="auto"/>
        <w:bottom w:val="none" w:sz="0" w:space="0" w:color="auto"/>
        <w:right w:val="none" w:sz="0" w:space="0" w:color="auto"/>
      </w:divBdr>
    </w:div>
    <w:div w:id="1286043761">
      <w:bodyDiv w:val="1"/>
      <w:marLeft w:val="0"/>
      <w:marRight w:val="0"/>
      <w:marTop w:val="0"/>
      <w:marBottom w:val="0"/>
      <w:divBdr>
        <w:top w:val="none" w:sz="0" w:space="0" w:color="auto"/>
        <w:left w:val="none" w:sz="0" w:space="0" w:color="auto"/>
        <w:bottom w:val="none" w:sz="0" w:space="0" w:color="auto"/>
        <w:right w:val="none" w:sz="0" w:space="0" w:color="auto"/>
      </w:divBdr>
    </w:div>
    <w:div w:id="1289896116">
      <w:bodyDiv w:val="1"/>
      <w:marLeft w:val="0"/>
      <w:marRight w:val="0"/>
      <w:marTop w:val="0"/>
      <w:marBottom w:val="0"/>
      <w:divBdr>
        <w:top w:val="none" w:sz="0" w:space="0" w:color="auto"/>
        <w:left w:val="none" w:sz="0" w:space="0" w:color="auto"/>
        <w:bottom w:val="none" w:sz="0" w:space="0" w:color="auto"/>
        <w:right w:val="none" w:sz="0" w:space="0" w:color="auto"/>
      </w:divBdr>
    </w:div>
    <w:div w:id="1293560057">
      <w:bodyDiv w:val="1"/>
      <w:marLeft w:val="0"/>
      <w:marRight w:val="0"/>
      <w:marTop w:val="0"/>
      <w:marBottom w:val="0"/>
      <w:divBdr>
        <w:top w:val="none" w:sz="0" w:space="0" w:color="auto"/>
        <w:left w:val="none" w:sz="0" w:space="0" w:color="auto"/>
        <w:bottom w:val="none" w:sz="0" w:space="0" w:color="auto"/>
        <w:right w:val="none" w:sz="0" w:space="0" w:color="auto"/>
      </w:divBdr>
    </w:div>
    <w:div w:id="1295066612">
      <w:bodyDiv w:val="1"/>
      <w:marLeft w:val="0"/>
      <w:marRight w:val="0"/>
      <w:marTop w:val="0"/>
      <w:marBottom w:val="0"/>
      <w:divBdr>
        <w:top w:val="none" w:sz="0" w:space="0" w:color="auto"/>
        <w:left w:val="none" w:sz="0" w:space="0" w:color="auto"/>
        <w:bottom w:val="none" w:sz="0" w:space="0" w:color="auto"/>
        <w:right w:val="none" w:sz="0" w:space="0" w:color="auto"/>
      </w:divBdr>
    </w:div>
    <w:div w:id="1295404302">
      <w:bodyDiv w:val="1"/>
      <w:marLeft w:val="0"/>
      <w:marRight w:val="0"/>
      <w:marTop w:val="0"/>
      <w:marBottom w:val="0"/>
      <w:divBdr>
        <w:top w:val="none" w:sz="0" w:space="0" w:color="auto"/>
        <w:left w:val="none" w:sz="0" w:space="0" w:color="auto"/>
        <w:bottom w:val="none" w:sz="0" w:space="0" w:color="auto"/>
        <w:right w:val="none" w:sz="0" w:space="0" w:color="auto"/>
      </w:divBdr>
    </w:div>
    <w:div w:id="1295596447">
      <w:bodyDiv w:val="1"/>
      <w:marLeft w:val="0"/>
      <w:marRight w:val="0"/>
      <w:marTop w:val="0"/>
      <w:marBottom w:val="0"/>
      <w:divBdr>
        <w:top w:val="none" w:sz="0" w:space="0" w:color="auto"/>
        <w:left w:val="none" w:sz="0" w:space="0" w:color="auto"/>
        <w:bottom w:val="none" w:sz="0" w:space="0" w:color="auto"/>
        <w:right w:val="none" w:sz="0" w:space="0" w:color="auto"/>
      </w:divBdr>
    </w:div>
    <w:div w:id="1295790454">
      <w:bodyDiv w:val="1"/>
      <w:marLeft w:val="0"/>
      <w:marRight w:val="0"/>
      <w:marTop w:val="0"/>
      <w:marBottom w:val="0"/>
      <w:divBdr>
        <w:top w:val="none" w:sz="0" w:space="0" w:color="auto"/>
        <w:left w:val="none" w:sz="0" w:space="0" w:color="auto"/>
        <w:bottom w:val="none" w:sz="0" w:space="0" w:color="auto"/>
        <w:right w:val="none" w:sz="0" w:space="0" w:color="auto"/>
      </w:divBdr>
    </w:div>
    <w:div w:id="1297223325">
      <w:bodyDiv w:val="1"/>
      <w:marLeft w:val="0"/>
      <w:marRight w:val="0"/>
      <w:marTop w:val="0"/>
      <w:marBottom w:val="0"/>
      <w:divBdr>
        <w:top w:val="none" w:sz="0" w:space="0" w:color="auto"/>
        <w:left w:val="none" w:sz="0" w:space="0" w:color="auto"/>
        <w:bottom w:val="none" w:sz="0" w:space="0" w:color="auto"/>
        <w:right w:val="none" w:sz="0" w:space="0" w:color="auto"/>
      </w:divBdr>
    </w:div>
    <w:div w:id="1297881297">
      <w:bodyDiv w:val="1"/>
      <w:marLeft w:val="0"/>
      <w:marRight w:val="0"/>
      <w:marTop w:val="0"/>
      <w:marBottom w:val="0"/>
      <w:divBdr>
        <w:top w:val="none" w:sz="0" w:space="0" w:color="auto"/>
        <w:left w:val="none" w:sz="0" w:space="0" w:color="auto"/>
        <w:bottom w:val="none" w:sz="0" w:space="0" w:color="auto"/>
        <w:right w:val="none" w:sz="0" w:space="0" w:color="auto"/>
      </w:divBdr>
    </w:div>
    <w:div w:id="1298798886">
      <w:bodyDiv w:val="1"/>
      <w:marLeft w:val="0"/>
      <w:marRight w:val="0"/>
      <w:marTop w:val="0"/>
      <w:marBottom w:val="0"/>
      <w:divBdr>
        <w:top w:val="none" w:sz="0" w:space="0" w:color="auto"/>
        <w:left w:val="none" w:sz="0" w:space="0" w:color="auto"/>
        <w:bottom w:val="none" w:sz="0" w:space="0" w:color="auto"/>
        <w:right w:val="none" w:sz="0" w:space="0" w:color="auto"/>
      </w:divBdr>
    </w:div>
    <w:div w:id="1300375327">
      <w:bodyDiv w:val="1"/>
      <w:marLeft w:val="0"/>
      <w:marRight w:val="0"/>
      <w:marTop w:val="0"/>
      <w:marBottom w:val="0"/>
      <w:divBdr>
        <w:top w:val="none" w:sz="0" w:space="0" w:color="auto"/>
        <w:left w:val="none" w:sz="0" w:space="0" w:color="auto"/>
        <w:bottom w:val="none" w:sz="0" w:space="0" w:color="auto"/>
        <w:right w:val="none" w:sz="0" w:space="0" w:color="auto"/>
      </w:divBdr>
    </w:div>
    <w:div w:id="1303076328">
      <w:bodyDiv w:val="1"/>
      <w:marLeft w:val="0"/>
      <w:marRight w:val="0"/>
      <w:marTop w:val="0"/>
      <w:marBottom w:val="0"/>
      <w:divBdr>
        <w:top w:val="none" w:sz="0" w:space="0" w:color="auto"/>
        <w:left w:val="none" w:sz="0" w:space="0" w:color="auto"/>
        <w:bottom w:val="none" w:sz="0" w:space="0" w:color="auto"/>
        <w:right w:val="none" w:sz="0" w:space="0" w:color="auto"/>
      </w:divBdr>
    </w:div>
    <w:div w:id="1304581854">
      <w:bodyDiv w:val="1"/>
      <w:marLeft w:val="0"/>
      <w:marRight w:val="0"/>
      <w:marTop w:val="0"/>
      <w:marBottom w:val="0"/>
      <w:divBdr>
        <w:top w:val="none" w:sz="0" w:space="0" w:color="auto"/>
        <w:left w:val="none" w:sz="0" w:space="0" w:color="auto"/>
        <w:bottom w:val="none" w:sz="0" w:space="0" w:color="auto"/>
        <w:right w:val="none" w:sz="0" w:space="0" w:color="auto"/>
      </w:divBdr>
    </w:div>
    <w:div w:id="1305624008">
      <w:bodyDiv w:val="1"/>
      <w:marLeft w:val="0"/>
      <w:marRight w:val="0"/>
      <w:marTop w:val="0"/>
      <w:marBottom w:val="0"/>
      <w:divBdr>
        <w:top w:val="none" w:sz="0" w:space="0" w:color="auto"/>
        <w:left w:val="none" w:sz="0" w:space="0" w:color="auto"/>
        <w:bottom w:val="none" w:sz="0" w:space="0" w:color="auto"/>
        <w:right w:val="none" w:sz="0" w:space="0" w:color="auto"/>
      </w:divBdr>
    </w:div>
    <w:div w:id="1310282683">
      <w:bodyDiv w:val="1"/>
      <w:marLeft w:val="0"/>
      <w:marRight w:val="0"/>
      <w:marTop w:val="0"/>
      <w:marBottom w:val="0"/>
      <w:divBdr>
        <w:top w:val="none" w:sz="0" w:space="0" w:color="auto"/>
        <w:left w:val="none" w:sz="0" w:space="0" w:color="auto"/>
        <w:bottom w:val="none" w:sz="0" w:space="0" w:color="auto"/>
        <w:right w:val="none" w:sz="0" w:space="0" w:color="auto"/>
      </w:divBdr>
    </w:div>
    <w:div w:id="1311329794">
      <w:bodyDiv w:val="1"/>
      <w:marLeft w:val="0"/>
      <w:marRight w:val="0"/>
      <w:marTop w:val="0"/>
      <w:marBottom w:val="0"/>
      <w:divBdr>
        <w:top w:val="none" w:sz="0" w:space="0" w:color="auto"/>
        <w:left w:val="none" w:sz="0" w:space="0" w:color="auto"/>
        <w:bottom w:val="none" w:sz="0" w:space="0" w:color="auto"/>
        <w:right w:val="none" w:sz="0" w:space="0" w:color="auto"/>
      </w:divBdr>
    </w:div>
    <w:div w:id="1311667096">
      <w:bodyDiv w:val="1"/>
      <w:marLeft w:val="0"/>
      <w:marRight w:val="0"/>
      <w:marTop w:val="0"/>
      <w:marBottom w:val="0"/>
      <w:divBdr>
        <w:top w:val="none" w:sz="0" w:space="0" w:color="auto"/>
        <w:left w:val="none" w:sz="0" w:space="0" w:color="auto"/>
        <w:bottom w:val="none" w:sz="0" w:space="0" w:color="auto"/>
        <w:right w:val="none" w:sz="0" w:space="0" w:color="auto"/>
      </w:divBdr>
    </w:div>
    <w:div w:id="1315453229">
      <w:bodyDiv w:val="1"/>
      <w:marLeft w:val="0"/>
      <w:marRight w:val="0"/>
      <w:marTop w:val="0"/>
      <w:marBottom w:val="0"/>
      <w:divBdr>
        <w:top w:val="none" w:sz="0" w:space="0" w:color="auto"/>
        <w:left w:val="none" w:sz="0" w:space="0" w:color="auto"/>
        <w:bottom w:val="none" w:sz="0" w:space="0" w:color="auto"/>
        <w:right w:val="none" w:sz="0" w:space="0" w:color="auto"/>
      </w:divBdr>
    </w:div>
    <w:div w:id="1316060563">
      <w:bodyDiv w:val="1"/>
      <w:marLeft w:val="0"/>
      <w:marRight w:val="0"/>
      <w:marTop w:val="0"/>
      <w:marBottom w:val="0"/>
      <w:divBdr>
        <w:top w:val="none" w:sz="0" w:space="0" w:color="auto"/>
        <w:left w:val="none" w:sz="0" w:space="0" w:color="auto"/>
        <w:bottom w:val="none" w:sz="0" w:space="0" w:color="auto"/>
        <w:right w:val="none" w:sz="0" w:space="0" w:color="auto"/>
      </w:divBdr>
    </w:div>
    <w:div w:id="1318339743">
      <w:bodyDiv w:val="1"/>
      <w:marLeft w:val="0"/>
      <w:marRight w:val="0"/>
      <w:marTop w:val="0"/>
      <w:marBottom w:val="0"/>
      <w:divBdr>
        <w:top w:val="none" w:sz="0" w:space="0" w:color="auto"/>
        <w:left w:val="none" w:sz="0" w:space="0" w:color="auto"/>
        <w:bottom w:val="none" w:sz="0" w:space="0" w:color="auto"/>
        <w:right w:val="none" w:sz="0" w:space="0" w:color="auto"/>
      </w:divBdr>
    </w:div>
    <w:div w:id="1318727898">
      <w:bodyDiv w:val="1"/>
      <w:marLeft w:val="0"/>
      <w:marRight w:val="0"/>
      <w:marTop w:val="0"/>
      <w:marBottom w:val="0"/>
      <w:divBdr>
        <w:top w:val="none" w:sz="0" w:space="0" w:color="auto"/>
        <w:left w:val="none" w:sz="0" w:space="0" w:color="auto"/>
        <w:bottom w:val="none" w:sz="0" w:space="0" w:color="auto"/>
        <w:right w:val="none" w:sz="0" w:space="0" w:color="auto"/>
      </w:divBdr>
    </w:div>
    <w:div w:id="1319070082">
      <w:bodyDiv w:val="1"/>
      <w:marLeft w:val="0"/>
      <w:marRight w:val="0"/>
      <w:marTop w:val="0"/>
      <w:marBottom w:val="0"/>
      <w:divBdr>
        <w:top w:val="none" w:sz="0" w:space="0" w:color="auto"/>
        <w:left w:val="none" w:sz="0" w:space="0" w:color="auto"/>
        <w:bottom w:val="none" w:sz="0" w:space="0" w:color="auto"/>
        <w:right w:val="none" w:sz="0" w:space="0" w:color="auto"/>
      </w:divBdr>
    </w:div>
    <w:div w:id="1322198867">
      <w:bodyDiv w:val="1"/>
      <w:marLeft w:val="0"/>
      <w:marRight w:val="0"/>
      <w:marTop w:val="0"/>
      <w:marBottom w:val="0"/>
      <w:divBdr>
        <w:top w:val="none" w:sz="0" w:space="0" w:color="auto"/>
        <w:left w:val="none" w:sz="0" w:space="0" w:color="auto"/>
        <w:bottom w:val="none" w:sz="0" w:space="0" w:color="auto"/>
        <w:right w:val="none" w:sz="0" w:space="0" w:color="auto"/>
      </w:divBdr>
    </w:div>
    <w:div w:id="1322387705">
      <w:bodyDiv w:val="1"/>
      <w:marLeft w:val="0"/>
      <w:marRight w:val="0"/>
      <w:marTop w:val="0"/>
      <w:marBottom w:val="0"/>
      <w:divBdr>
        <w:top w:val="none" w:sz="0" w:space="0" w:color="auto"/>
        <w:left w:val="none" w:sz="0" w:space="0" w:color="auto"/>
        <w:bottom w:val="none" w:sz="0" w:space="0" w:color="auto"/>
        <w:right w:val="none" w:sz="0" w:space="0" w:color="auto"/>
      </w:divBdr>
    </w:div>
    <w:div w:id="1323586853">
      <w:bodyDiv w:val="1"/>
      <w:marLeft w:val="0"/>
      <w:marRight w:val="0"/>
      <w:marTop w:val="0"/>
      <w:marBottom w:val="0"/>
      <w:divBdr>
        <w:top w:val="none" w:sz="0" w:space="0" w:color="auto"/>
        <w:left w:val="none" w:sz="0" w:space="0" w:color="auto"/>
        <w:bottom w:val="none" w:sz="0" w:space="0" w:color="auto"/>
        <w:right w:val="none" w:sz="0" w:space="0" w:color="auto"/>
      </w:divBdr>
    </w:div>
    <w:div w:id="1323971546">
      <w:bodyDiv w:val="1"/>
      <w:marLeft w:val="0"/>
      <w:marRight w:val="0"/>
      <w:marTop w:val="0"/>
      <w:marBottom w:val="0"/>
      <w:divBdr>
        <w:top w:val="none" w:sz="0" w:space="0" w:color="auto"/>
        <w:left w:val="none" w:sz="0" w:space="0" w:color="auto"/>
        <w:bottom w:val="none" w:sz="0" w:space="0" w:color="auto"/>
        <w:right w:val="none" w:sz="0" w:space="0" w:color="auto"/>
      </w:divBdr>
    </w:div>
    <w:div w:id="1328248524">
      <w:bodyDiv w:val="1"/>
      <w:marLeft w:val="0"/>
      <w:marRight w:val="0"/>
      <w:marTop w:val="0"/>
      <w:marBottom w:val="0"/>
      <w:divBdr>
        <w:top w:val="none" w:sz="0" w:space="0" w:color="auto"/>
        <w:left w:val="none" w:sz="0" w:space="0" w:color="auto"/>
        <w:bottom w:val="none" w:sz="0" w:space="0" w:color="auto"/>
        <w:right w:val="none" w:sz="0" w:space="0" w:color="auto"/>
      </w:divBdr>
    </w:div>
    <w:div w:id="1328440351">
      <w:bodyDiv w:val="1"/>
      <w:marLeft w:val="0"/>
      <w:marRight w:val="0"/>
      <w:marTop w:val="0"/>
      <w:marBottom w:val="0"/>
      <w:divBdr>
        <w:top w:val="none" w:sz="0" w:space="0" w:color="auto"/>
        <w:left w:val="none" w:sz="0" w:space="0" w:color="auto"/>
        <w:bottom w:val="none" w:sz="0" w:space="0" w:color="auto"/>
        <w:right w:val="none" w:sz="0" w:space="0" w:color="auto"/>
      </w:divBdr>
    </w:div>
    <w:div w:id="1328820840">
      <w:bodyDiv w:val="1"/>
      <w:marLeft w:val="0"/>
      <w:marRight w:val="0"/>
      <w:marTop w:val="0"/>
      <w:marBottom w:val="0"/>
      <w:divBdr>
        <w:top w:val="none" w:sz="0" w:space="0" w:color="auto"/>
        <w:left w:val="none" w:sz="0" w:space="0" w:color="auto"/>
        <w:bottom w:val="none" w:sz="0" w:space="0" w:color="auto"/>
        <w:right w:val="none" w:sz="0" w:space="0" w:color="auto"/>
      </w:divBdr>
    </w:div>
    <w:div w:id="1329988933">
      <w:bodyDiv w:val="1"/>
      <w:marLeft w:val="0"/>
      <w:marRight w:val="0"/>
      <w:marTop w:val="0"/>
      <w:marBottom w:val="0"/>
      <w:divBdr>
        <w:top w:val="none" w:sz="0" w:space="0" w:color="auto"/>
        <w:left w:val="none" w:sz="0" w:space="0" w:color="auto"/>
        <w:bottom w:val="none" w:sz="0" w:space="0" w:color="auto"/>
        <w:right w:val="none" w:sz="0" w:space="0" w:color="auto"/>
      </w:divBdr>
    </w:div>
    <w:div w:id="1331566127">
      <w:bodyDiv w:val="1"/>
      <w:marLeft w:val="0"/>
      <w:marRight w:val="0"/>
      <w:marTop w:val="0"/>
      <w:marBottom w:val="0"/>
      <w:divBdr>
        <w:top w:val="none" w:sz="0" w:space="0" w:color="auto"/>
        <w:left w:val="none" w:sz="0" w:space="0" w:color="auto"/>
        <w:bottom w:val="none" w:sz="0" w:space="0" w:color="auto"/>
        <w:right w:val="none" w:sz="0" w:space="0" w:color="auto"/>
      </w:divBdr>
    </w:div>
    <w:div w:id="1332678176">
      <w:bodyDiv w:val="1"/>
      <w:marLeft w:val="0"/>
      <w:marRight w:val="0"/>
      <w:marTop w:val="0"/>
      <w:marBottom w:val="0"/>
      <w:divBdr>
        <w:top w:val="none" w:sz="0" w:space="0" w:color="auto"/>
        <w:left w:val="none" w:sz="0" w:space="0" w:color="auto"/>
        <w:bottom w:val="none" w:sz="0" w:space="0" w:color="auto"/>
        <w:right w:val="none" w:sz="0" w:space="0" w:color="auto"/>
      </w:divBdr>
    </w:div>
    <w:div w:id="1333026186">
      <w:bodyDiv w:val="1"/>
      <w:marLeft w:val="0"/>
      <w:marRight w:val="0"/>
      <w:marTop w:val="0"/>
      <w:marBottom w:val="0"/>
      <w:divBdr>
        <w:top w:val="none" w:sz="0" w:space="0" w:color="auto"/>
        <w:left w:val="none" w:sz="0" w:space="0" w:color="auto"/>
        <w:bottom w:val="none" w:sz="0" w:space="0" w:color="auto"/>
        <w:right w:val="none" w:sz="0" w:space="0" w:color="auto"/>
      </w:divBdr>
    </w:div>
    <w:div w:id="1333995910">
      <w:bodyDiv w:val="1"/>
      <w:marLeft w:val="0"/>
      <w:marRight w:val="0"/>
      <w:marTop w:val="0"/>
      <w:marBottom w:val="0"/>
      <w:divBdr>
        <w:top w:val="none" w:sz="0" w:space="0" w:color="auto"/>
        <w:left w:val="none" w:sz="0" w:space="0" w:color="auto"/>
        <w:bottom w:val="none" w:sz="0" w:space="0" w:color="auto"/>
        <w:right w:val="none" w:sz="0" w:space="0" w:color="auto"/>
      </w:divBdr>
    </w:div>
    <w:div w:id="1336809478">
      <w:bodyDiv w:val="1"/>
      <w:marLeft w:val="0"/>
      <w:marRight w:val="0"/>
      <w:marTop w:val="0"/>
      <w:marBottom w:val="0"/>
      <w:divBdr>
        <w:top w:val="none" w:sz="0" w:space="0" w:color="auto"/>
        <w:left w:val="none" w:sz="0" w:space="0" w:color="auto"/>
        <w:bottom w:val="none" w:sz="0" w:space="0" w:color="auto"/>
        <w:right w:val="none" w:sz="0" w:space="0" w:color="auto"/>
      </w:divBdr>
    </w:div>
    <w:div w:id="1338773387">
      <w:bodyDiv w:val="1"/>
      <w:marLeft w:val="0"/>
      <w:marRight w:val="0"/>
      <w:marTop w:val="0"/>
      <w:marBottom w:val="0"/>
      <w:divBdr>
        <w:top w:val="none" w:sz="0" w:space="0" w:color="auto"/>
        <w:left w:val="none" w:sz="0" w:space="0" w:color="auto"/>
        <w:bottom w:val="none" w:sz="0" w:space="0" w:color="auto"/>
        <w:right w:val="none" w:sz="0" w:space="0" w:color="auto"/>
      </w:divBdr>
    </w:div>
    <w:div w:id="1339964097">
      <w:bodyDiv w:val="1"/>
      <w:marLeft w:val="0"/>
      <w:marRight w:val="0"/>
      <w:marTop w:val="0"/>
      <w:marBottom w:val="0"/>
      <w:divBdr>
        <w:top w:val="none" w:sz="0" w:space="0" w:color="auto"/>
        <w:left w:val="none" w:sz="0" w:space="0" w:color="auto"/>
        <w:bottom w:val="none" w:sz="0" w:space="0" w:color="auto"/>
        <w:right w:val="none" w:sz="0" w:space="0" w:color="auto"/>
      </w:divBdr>
    </w:div>
    <w:div w:id="1341154404">
      <w:bodyDiv w:val="1"/>
      <w:marLeft w:val="0"/>
      <w:marRight w:val="0"/>
      <w:marTop w:val="0"/>
      <w:marBottom w:val="0"/>
      <w:divBdr>
        <w:top w:val="none" w:sz="0" w:space="0" w:color="auto"/>
        <w:left w:val="none" w:sz="0" w:space="0" w:color="auto"/>
        <w:bottom w:val="none" w:sz="0" w:space="0" w:color="auto"/>
        <w:right w:val="none" w:sz="0" w:space="0" w:color="auto"/>
      </w:divBdr>
    </w:div>
    <w:div w:id="1347559676">
      <w:bodyDiv w:val="1"/>
      <w:marLeft w:val="0"/>
      <w:marRight w:val="0"/>
      <w:marTop w:val="0"/>
      <w:marBottom w:val="0"/>
      <w:divBdr>
        <w:top w:val="none" w:sz="0" w:space="0" w:color="auto"/>
        <w:left w:val="none" w:sz="0" w:space="0" w:color="auto"/>
        <w:bottom w:val="none" w:sz="0" w:space="0" w:color="auto"/>
        <w:right w:val="none" w:sz="0" w:space="0" w:color="auto"/>
      </w:divBdr>
    </w:div>
    <w:div w:id="1348407286">
      <w:bodyDiv w:val="1"/>
      <w:marLeft w:val="0"/>
      <w:marRight w:val="0"/>
      <w:marTop w:val="0"/>
      <w:marBottom w:val="0"/>
      <w:divBdr>
        <w:top w:val="none" w:sz="0" w:space="0" w:color="auto"/>
        <w:left w:val="none" w:sz="0" w:space="0" w:color="auto"/>
        <w:bottom w:val="none" w:sz="0" w:space="0" w:color="auto"/>
        <w:right w:val="none" w:sz="0" w:space="0" w:color="auto"/>
      </w:divBdr>
    </w:div>
    <w:div w:id="1349062648">
      <w:bodyDiv w:val="1"/>
      <w:marLeft w:val="0"/>
      <w:marRight w:val="0"/>
      <w:marTop w:val="0"/>
      <w:marBottom w:val="0"/>
      <w:divBdr>
        <w:top w:val="none" w:sz="0" w:space="0" w:color="auto"/>
        <w:left w:val="none" w:sz="0" w:space="0" w:color="auto"/>
        <w:bottom w:val="none" w:sz="0" w:space="0" w:color="auto"/>
        <w:right w:val="none" w:sz="0" w:space="0" w:color="auto"/>
      </w:divBdr>
    </w:div>
    <w:div w:id="1352489448">
      <w:bodyDiv w:val="1"/>
      <w:marLeft w:val="0"/>
      <w:marRight w:val="0"/>
      <w:marTop w:val="0"/>
      <w:marBottom w:val="0"/>
      <w:divBdr>
        <w:top w:val="none" w:sz="0" w:space="0" w:color="auto"/>
        <w:left w:val="none" w:sz="0" w:space="0" w:color="auto"/>
        <w:bottom w:val="none" w:sz="0" w:space="0" w:color="auto"/>
        <w:right w:val="none" w:sz="0" w:space="0" w:color="auto"/>
      </w:divBdr>
    </w:div>
    <w:div w:id="1352532875">
      <w:bodyDiv w:val="1"/>
      <w:marLeft w:val="0"/>
      <w:marRight w:val="0"/>
      <w:marTop w:val="0"/>
      <w:marBottom w:val="0"/>
      <w:divBdr>
        <w:top w:val="none" w:sz="0" w:space="0" w:color="auto"/>
        <w:left w:val="none" w:sz="0" w:space="0" w:color="auto"/>
        <w:bottom w:val="none" w:sz="0" w:space="0" w:color="auto"/>
        <w:right w:val="none" w:sz="0" w:space="0" w:color="auto"/>
      </w:divBdr>
    </w:div>
    <w:div w:id="1353802362">
      <w:bodyDiv w:val="1"/>
      <w:marLeft w:val="0"/>
      <w:marRight w:val="0"/>
      <w:marTop w:val="0"/>
      <w:marBottom w:val="0"/>
      <w:divBdr>
        <w:top w:val="none" w:sz="0" w:space="0" w:color="auto"/>
        <w:left w:val="none" w:sz="0" w:space="0" w:color="auto"/>
        <w:bottom w:val="none" w:sz="0" w:space="0" w:color="auto"/>
        <w:right w:val="none" w:sz="0" w:space="0" w:color="auto"/>
      </w:divBdr>
    </w:div>
    <w:div w:id="1355040217">
      <w:bodyDiv w:val="1"/>
      <w:marLeft w:val="0"/>
      <w:marRight w:val="0"/>
      <w:marTop w:val="0"/>
      <w:marBottom w:val="0"/>
      <w:divBdr>
        <w:top w:val="none" w:sz="0" w:space="0" w:color="auto"/>
        <w:left w:val="none" w:sz="0" w:space="0" w:color="auto"/>
        <w:bottom w:val="none" w:sz="0" w:space="0" w:color="auto"/>
        <w:right w:val="none" w:sz="0" w:space="0" w:color="auto"/>
      </w:divBdr>
    </w:div>
    <w:div w:id="1360544730">
      <w:bodyDiv w:val="1"/>
      <w:marLeft w:val="0"/>
      <w:marRight w:val="0"/>
      <w:marTop w:val="0"/>
      <w:marBottom w:val="0"/>
      <w:divBdr>
        <w:top w:val="none" w:sz="0" w:space="0" w:color="auto"/>
        <w:left w:val="none" w:sz="0" w:space="0" w:color="auto"/>
        <w:bottom w:val="none" w:sz="0" w:space="0" w:color="auto"/>
        <w:right w:val="none" w:sz="0" w:space="0" w:color="auto"/>
      </w:divBdr>
    </w:div>
    <w:div w:id="1361779812">
      <w:bodyDiv w:val="1"/>
      <w:marLeft w:val="0"/>
      <w:marRight w:val="0"/>
      <w:marTop w:val="0"/>
      <w:marBottom w:val="0"/>
      <w:divBdr>
        <w:top w:val="none" w:sz="0" w:space="0" w:color="auto"/>
        <w:left w:val="none" w:sz="0" w:space="0" w:color="auto"/>
        <w:bottom w:val="none" w:sz="0" w:space="0" w:color="auto"/>
        <w:right w:val="none" w:sz="0" w:space="0" w:color="auto"/>
      </w:divBdr>
    </w:div>
    <w:div w:id="1362169966">
      <w:bodyDiv w:val="1"/>
      <w:marLeft w:val="0"/>
      <w:marRight w:val="0"/>
      <w:marTop w:val="0"/>
      <w:marBottom w:val="0"/>
      <w:divBdr>
        <w:top w:val="none" w:sz="0" w:space="0" w:color="auto"/>
        <w:left w:val="none" w:sz="0" w:space="0" w:color="auto"/>
        <w:bottom w:val="none" w:sz="0" w:space="0" w:color="auto"/>
        <w:right w:val="none" w:sz="0" w:space="0" w:color="auto"/>
      </w:divBdr>
    </w:div>
    <w:div w:id="1364088409">
      <w:bodyDiv w:val="1"/>
      <w:marLeft w:val="0"/>
      <w:marRight w:val="0"/>
      <w:marTop w:val="0"/>
      <w:marBottom w:val="0"/>
      <w:divBdr>
        <w:top w:val="none" w:sz="0" w:space="0" w:color="auto"/>
        <w:left w:val="none" w:sz="0" w:space="0" w:color="auto"/>
        <w:bottom w:val="none" w:sz="0" w:space="0" w:color="auto"/>
        <w:right w:val="none" w:sz="0" w:space="0" w:color="auto"/>
      </w:divBdr>
    </w:div>
    <w:div w:id="1365667876">
      <w:bodyDiv w:val="1"/>
      <w:marLeft w:val="0"/>
      <w:marRight w:val="0"/>
      <w:marTop w:val="0"/>
      <w:marBottom w:val="0"/>
      <w:divBdr>
        <w:top w:val="none" w:sz="0" w:space="0" w:color="auto"/>
        <w:left w:val="none" w:sz="0" w:space="0" w:color="auto"/>
        <w:bottom w:val="none" w:sz="0" w:space="0" w:color="auto"/>
        <w:right w:val="none" w:sz="0" w:space="0" w:color="auto"/>
      </w:divBdr>
    </w:div>
    <w:div w:id="1368793153">
      <w:bodyDiv w:val="1"/>
      <w:marLeft w:val="0"/>
      <w:marRight w:val="0"/>
      <w:marTop w:val="0"/>
      <w:marBottom w:val="0"/>
      <w:divBdr>
        <w:top w:val="none" w:sz="0" w:space="0" w:color="auto"/>
        <w:left w:val="none" w:sz="0" w:space="0" w:color="auto"/>
        <w:bottom w:val="none" w:sz="0" w:space="0" w:color="auto"/>
        <w:right w:val="none" w:sz="0" w:space="0" w:color="auto"/>
      </w:divBdr>
    </w:div>
    <w:div w:id="1372266812">
      <w:bodyDiv w:val="1"/>
      <w:marLeft w:val="0"/>
      <w:marRight w:val="0"/>
      <w:marTop w:val="0"/>
      <w:marBottom w:val="0"/>
      <w:divBdr>
        <w:top w:val="none" w:sz="0" w:space="0" w:color="auto"/>
        <w:left w:val="none" w:sz="0" w:space="0" w:color="auto"/>
        <w:bottom w:val="none" w:sz="0" w:space="0" w:color="auto"/>
        <w:right w:val="none" w:sz="0" w:space="0" w:color="auto"/>
      </w:divBdr>
    </w:div>
    <w:div w:id="1372344652">
      <w:bodyDiv w:val="1"/>
      <w:marLeft w:val="0"/>
      <w:marRight w:val="0"/>
      <w:marTop w:val="0"/>
      <w:marBottom w:val="0"/>
      <w:divBdr>
        <w:top w:val="none" w:sz="0" w:space="0" w:color="auto"/>
        <w:left w:val="none" w:sz="0" w:space="0" w:color="auto"/>
        <w:bottom w:val="none" w:sz="0" w:space="0" w:color="auto"/>
        <w:right w:val="none" w:sz="0" w:space="0" w:color="auto"/>
      </w:divBdr>
    </w:div>
    <w:div w:id="1373849433">
      <w:bodyDiv w:val="1"/>
      <w:marLeft w:val="0"/>
      <w:marRight w:val="0"/>
      <w:marTop w:val="0"/>
      <w:marBottom w:val="0"/>
      <w:divBdr>
        <w:top w:val="none" w:sz="0" w:space="0" w:color="auto"/>
        <w:left w:val="none" w:sz="0" w:space="0" w:color="auto"/>
        <w:bottom w:val="none" w:sz="0" w:space="0" w:color="auto"/>
        <w:right w:val="none" w:sz="0" w:space="0" w:color="auto"/>
      </w:divBdr>
    </w:div>
    <w:div w:id="1374038348">
      <w:bodyDiv w:val="1"/>
      <w:marLeft w:val="0"/>
      <w:marRight w:val="0"/>
      <w:marTop w:val="0"/>
      <w:marBottom w:val="0"/>
      <w:divBdr>
        <w:top w:val="none" w:sz="0" w:space="0" w:color="auto"/>
        <w:left w:val="none" w:sz="0" w:space="0" w:color="auto"/>
        <w:bottom w:val="none" w:sz="0" w:space="0" w:color="auto"/>
        <w:right w:val="none" w:sz="0" w:space="0" w:color="auto"/>
      </w:divBdr>
    </w:div>
    <w:div w:id="1375693470">
      <w:bodyDiv w:val="1"/>
      <w:marLeft w:val="0"/>
      <w:marRight w:val="0"/>
      <w:marTop w:val="0"/>
      <w:marBottom w:val="0"/>
      <w:divBdr>
        <w:top w:val="none" w:sz="0" w:space="0" w:color="auto"/>
        <w:left w:val="none" w:sz="0" w:space="0" w:color="auto"/>
        <w:bottom w:val="none" w:sz="0" w:space="0" w:color="auto"/>
        <w:right w:val="none" w:sz="0" w:space="0" w:color="auto"/>
      </w:divBdr>
    </w:div>
    <w:div w:id="1375814262">
      <w:bodyDiv w:val="1"/>
      <w:marLeft w:val="0"/>
      <w:marRight w:val="0"/>
      <w:marTop w:val="0"/>
      <w:marBottom w:val="0"/>
      <w:divBdr>
        <w:top w:val="none" w:sz="0" w:space="0" w:color="auto"/>
        <w:left w:val="none" w:sz="0" w:space="0" w:color="auto"/>
        <w:bottom w:val="none" w:sz="0" w:space="0" w:color="auto"/>
        <w:right w:val="none" w:sz="0" w:space="0" w:color="auto"/>
      </w:divBdr>
    </w:div>
    <w:div w:id="1375881985">
      <w:bodyDiv w:val="1"/>
      <w:marLeft w:val="0"/>
      <w:marRight w:val="0"/>
      <w:marTop w:val="0"/>
      <w:marBottom w:val="0"/>
      <w:divBdr>
        <w:top w:val="none" w:sz="0" w:space="0" w:color="auto"/>
        <w:left w:val="none" w:sz="0" w:space="0" w:color="auto"/>
        <w:bottom w:val="none" w:sz="0" w:space="0" w:color="auto"/>
        <w:right w:val="none" w:sz="0" w:space="0" w:color="auto"/>
      </w:divBdr>
    </w:div>
    <w:div w:id="1376350317">
      <w:bodyDiv w:val="1"/>
      <w:marLeft w:val="0"/>
      <w:marRight w:val="0"/>
      <w:marTop w:val="0"/>
      <w:marBottom w:val="0"/>
      <w:divBdr>
        <w:top w:val="none" w:sz="0" w:space="0" w:color="auto"/>
        <w:left w:val="none" w:sz="0" w:space="0" w:color="auto"/>
        <w:bottom w:val="none" w:sz="0" w:space="0" w:color="auto"/>
        <w:right w:val="none" w:sz="0" w:space="0" w:color="auto"/>
      </w:divBdr>
    </w:div>
    <w:div w:id="1377318738">
      <w:bodyDiv w:val="1"/>
      <w:marLeft w:val="0"/>
      <w:marRight w:val="0"/>
      <w:marTop w:val="0"/>
      <w:marBottom w:val="0"/>
      <w:divBdr>
        <w:top w:val="none" w:sz="0" w:space="0" w:color="auto"/>
        <w:left w:val="none" w:sz="0" w:space="0" w:color="auto"/>
        <w:bottom w:val="none" w:sz="0" w:space="0" w:color="auto"/>
        <w:right w:val="none" w:sz="0" w:space="0" w:color="auto"/>
      </w:divBdr>
    </w:div>
    <w:div w:id="1378895824">
      <w:bodyDiv w:val="1"/>
      <w:marLeft w:val="0"/>
      <w:marRight w:val="0"/>
      <w:marTop w:val="0"/>
      <w:marBottom w:val="0"/>
      <w:divBdr>
        <w:top w:val="none" w:sz="0" w:space="0" w:color="auto"/>
        <w:left w:val="none" w:sz="0" w:space="0" w:color="auto"/>
        <w:bottom w:val="none" w:sz="0" w:space="0" w:color="auto"/>
        <w:right w:val="none" w:sz="0" w:space="0" w:color="auto"/>
      </w:divBdr>
    </w:div>
    <w:div w:id="1380058193">
      <w:bodyDiv w:val="1"/>
      <w:marLeft w:val="0"/>
      <w:marRight w:val="0"/>
      <w:marTop w:val="0"/>
      <w:marBottom w:val="0"/>
      <w:divBdr>
        <w:top w:val="none" w:sz="0" w:space="0" w:color="auto"/>
        <w:left w:val="none" w:sz="0" w:space="0" w:color="auto"/>
        <w:bottom w:val="none" w:sz="0" w:space="0" w:color="auto"/>
        <w:right w:val="none" w:sz="0" w:space="0" w:color="auto"/>
      </w:divBdr>
    </w:div>
    <w:div w:id="1382482862">
      <w:bodyDiv w:val="1"/>
      <w:marLeft w:val="0"/>
      <w:marRight w:val="0"/>
      <w:marTop w:val="0"/>
      <w:marBottom w:val="0"/>
      <w:divBdr>
        <w:top w:val="none" w:sz="0" w:space="0" w:color="auto"/>
        <w:left w:val="none" w:sz="0" w:space="0" w:color="auto"/>
        <w:bottom w:val="none" w:sz="0" w:space="0" w:color="auto"/>
        <w:right w:val="none" w:sz="0" w:space="0" w:color="auto"/>
      </w:divBdr>
    </w:div>
    <w:div w:id="1382827941">
      <w:bodyDiv w:val="1"/>
      <w:marLeft w:val="0"/>
      <w:marRight w:val="0"/>
      <w:marTop w:val="0"/>
      <w:marBottom w:val="0"/>
      <w:divBdr>
        <w:top w:val="none" w:sz="0" w:space="0" w:color="auto"/>
        <w:left w:val="none" w:sz="0" w:space="0" w:color="auto"/>
        <w:bottom w:val="none" w:sz="0" w:space="0" w:color="auto"/>
        <w:right w:val="none" w:sz="0" w:space="0" w:color="auto"/>
      </w:divBdr>
    </w:div>
    <w:div w:id="1383601799">
      <w:bodyDiv w:val="1"/>
      <w:marLeft w:val="0"/>
      <w:marRight w:val="0"/>
      <w:marTop w:val="0"/>
      <w:marBottom w:val="0"/>
      <w:divBdr>
        <w:top w:val="none" w:sz="0" w:space="0" w:color="auto"/>
        <w:left w:val="none" w:sz="0" w:space="0" w:color="auto"/>
        <w:bottom w:val="none" w:sz="0" w:space="0" w:color="auto"/>
        <w:right w:val="none" w:sz="0" w:space="0" w:color="auto"/>
      </w:divBdr>
    </w:div>
    <w:div w:id="1384134491">
      <w:bodyDiv w:val="1"/>
      <w:marLeft w:val="0"/>
      <w:marRight w:val="0"/>
      <w:marTop w:val="0"/>
      <w:marBottom w:val="0"/>
      <w:divBdr>
        <w:top w:val="none" w:sz="0" w:space="0" w:color="auto"/>
        <w:left w:val="none" w:sz="0" w:space="0" w:color="auto"/>
        <w:bottom w:val="none" w:sz="0" w:space="0" w:color="auto"/>
        <w:right w:val="none" w:sz="0" w:space="0" w:color="auto"/>
      </w:divBdr>
    </w:div>
    <w:div w:id="138471469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87997167">
      <w:bodyDiv w:val="1"/>
      <w:marLeft w:val="0"/>
      <w:marRight w:val="0"/>
      <w:marTop w:val="0"/>
      <w:marBottom w:val="0"/>
      <w:divBdr>
        <w:top w:val="none" w:sz="0" w:space="0" w:color="auto"/>
        <w:left w:val="none" w:sz="0" w:space="0" w:color="auto"/>
        <w:bottom w:val="none" w:sz="0" w:space="0" w:color="auto"/>
        <w:right w:val="none" w:sz="0" w:space="0" w:color="auto"/>
      </w:divBdr>
    </w:div>
    <w:div w:id="1391924506">
      <w:bodyDiv w:val="1"/>
      <w:marLeft w:val="0"/>
      <w:marRight w:val="0"/>
      <w:marTop w:val="0"/>
      <w:marBottom w:val="0"/>
      <w:divBdr>
        <w:top w:val="none" w:sz="0" w:space="0" w:color="auto"/>
        <w:left w:val="none" w:sz="0" w:space="0" w:color="auto"/>
        <w:bottom w:val="none" w:sz="0" w:space="0" w:color="auto"/>
        <w:right w:val="none" w:sz="0" w:space="0" w:color="auto"/>
      </w:divBdr>
    </w:div>
    <w:div w:id="1392264964">
      <w:bodyDiv w:val="1"/>
      <w:marLeft w:val="0"/>
      <w:marRight w:val="0"/>
      <w:marTop w:val="0"/>
      <w:marBottom w:val="0"/>
      <w:divBdr>
        <w:top w:val="none" w:sz="0" w:space="0" w:color="auto"/>
        <w:left w:val="none" w:sz="0" w:space="0" w:color="auto"/>
        <w:bottom w:val="none" w:sz="0" w:space="0" w:color="auto"/>
        <w:right w:val="none" w:sz="0" w:space="0" w:color="auto"/>
      </w:divBdr>
    </w:div>
    <w:div w:id="1397826192">
      <w:bodyDiv w:val="1"/>
      <w:marLeft w:val="0"/>
      <w:marRight w:val="0"/>
      <w:marTop w:val="0"/>
      <w:marBottom w:val="0"/>
      <w:divBdr>
        <w:top w:val="none" w:sz="0" w:space="0" w:color="auto"/>
        <w:left w:val="none" w:sz="0" w:space="0" w:color="auto"/>
        <w:bottom w:val="none" w:sz="0" w:space="0" w:color="auto"/>
        <w:right w:val="none" w:sz="0" w:space="0" w:color="auto"/>
      </w:divBdr>
    </w:div>
    <w:div w:id="1402020002">
      <w:bodyDiv w:val="1"/>
      <w:marLeft w:val="0"/>
      <w:marRight w:val="0"/>
      <w:marTop w:val="0"/>
      <w:marBottom w:val="0"/>
      <w:divBdr>
        <w:top w:val="none" w:sz="0" w:space="0" w:color="auto"/>
        <w:left w:val="none" w:sz="0" w:space="0" w:color="auto"/>
        <w:bottom w:val="none" w:sz="0" w:space="0" w:color="auto"/>
        <w:right w:val="none" w:sz="0" w:space="0" w:color="auto"/>
      </w:divBdr>
    </w:div>
    <w:div w:id="1403794613">
      <w:bodyDiv w:val="1"/>
      <w:marLeft w:val="0"/>
      <w:marRight w:val="0"/>
      <w:marTop w:val="0"/>
      <w:marBottom w:val="0"/>
      <w:divBdr>
        <w:top w:val="none" w:sz="0" w:space="0" w:color="auto"/>
        <w:left w:val="none" w:sz="0" w:space="0" w:color="auto"/>
        <w:bottom w:val="none" w:sz="0" w:space="0" w:color="auto"/>
        <w:right w:val="none" w:sz="0" w:space="0" w:color="auto"/>
      </w:divBdr>
    </w:div>
    <w:div w:id="1405487384">
      <w:bodyDiv w:val="1"/>
      <w:marLeft w:val="0"/>
      <w:marRight w:val="0"/>
      <w:marTop w:val="0"/>
      <w:marBottom w:val="0"/>
      <w:divBdr>
        <w:top w:val="none" w:sz="0" w:space="0" w:color="auto"/>
        <w:left w:val="none" w:sz="0" w:space="0" w:color="auto"/>
        <w:bottom w:val="none" w:sz="0" w:space="0" w:color="auto"/>
        <w:right w:val="none" w:sz="0" w:space="0" w:color="auto"/>
      </w:divBdr>
    </w:div>
    <w:div w:id="1406688351">
      <w:bodyDiv w:val="1"/>
      <w:marLeft w:val="0"/>
      <w:marRight w:val="0"/>
      <w:marTop w:val="0"/>
      <w:marBottom w:val="0"/>
      <w:divBdr>
        <w:top w:val="none" w:sz="0" w:space="0" w:color="auto"/>
        <w:left w:val="none" w:sz="0" w:space="0" w:color="auto"/>
        <w:bottom w:val="none" w:sz="0" w:space="0" w:color="auto"/>
        <w:right w:val="none" w:sz="0" w:space="0" w:color="auto"/>
      </w:divBdr>
    </w:div>
    <w:div w:id="1407417093">
      <w:bodyDiv w:val="1"/>
      <w:marLeft w:val="0"/>
      <w:marRight w:val="0"/>
      <w:marTop w:val="0"/>
      <w:marBottom w:val="0"/>
      <w:divBdr>
        <w:top w:val="none" w:sz="0" w:space="0" w:color="auto"/>
        <w:left w:val="none" w:sz="0" w:space="0" w:color="auto"/>
        <w:bottom w:val="none" w:sz="0" w:space="0" w:color="auto"/>
        <w:right w:val="none" w:sz="0" w:space="0" w:color="auto"/>
      </w:divBdr>
    </w:div>
    <w:div w:id="1407872141">
      <w:bodyDiv w:val="1"/>
      <w:marLeft w:val="0"/>
      <w:marRight w:val="0"/>
      <w:marTop w:val="0"/>
      <w:marBottom w:val="0"/>
      <w:divBdr>
        <w:top w:val="none" w:sz="0" w:space="0" w:color="auto"/>
        <w:left w:val="none" w:sz="0" w:space="0" w:color="auto"/>
        <w:bottom w:val="none" w:sz="0" w:space="0" w:color="auto"/>
        <w:right w:val="none" w:sz="0" w:space="0" w:color="auto"/>
      </w:divBdr>
    </w:div>
    <w:div w:id="1412503970">
      <w:bodyDiv w:val="1"/>
      <w:marLeft w:val="0"/>
      <w:marRight w:val="0"/>
      <w:marTop w:val="0"/>
      <w:marBottom w:val="0"/>
      <w:divBdr>
        <w:top w:val="none" w:sz="0" w:space="0" w:color="auto"/>
        <w:left w:val="none" w:sz="0" w:space="0" w:color="auto"/>
        <w:bottom w:val="none" w:sz="0" w:space="0" w:color="auto"/>
        <w:right w:val="none" w:sz="0" w:space="0" w:color="auto"/>
      </w:divBdr>
    </w:div>
    <w:div w:id="1412852121">
      <w:bodyDiv w:val="1"/>
      <w:marLeft w:val="0"/>
      <w:marRight w:val="0"/>
      <w:marTop w:val="0"/>
      <w:marBottom w:val="0"/>
      <w:divBdr>
        <w:top w:val="none" w:sz="0" w:space="0" w:color="auto"/>
        <w:left w:val="none" w:sz="0" w:space="0" w:color="auto"/>
        <w:bottom w:val="none" w:sz="0" w:space="0" w:color="auto"/>
        <w:right w:val="none" w:sz="0" w:space="0" w:color="auto"/>
      </w:divBdr>
    </w:div>
    <w:div w:id="1413088516">
      <w:bodyDiv w:val="1"/>
      <w:marLeft w:val="0"/>
      <w:marRight w:val="0"/>
      <w:marTop w:val="0"/>
      <w:marBottom w:val="0"/>
      <w:divBdr>
        <w:top w:val="none" w:sz="0" w:space="0" w:color="auto"/>
        <w:left w:val="none" w:sz="0" w:space="0" w:color="auto"/>
        <w:bottom w:val="none" w:sz="0" w:space="0" w:color="auto"/>
        <w:right w:val="none" w:sz="0" w:space="0" w:color="auto"/>
      </w:divBdr>
    </w:div>
    <w:div w:id="1413157952">
      <w:bodyDiv w:val="1"/>
      <w:marLeft w:val="0"/>
      <w:marRight w:val="0"/>
      <w:marTop w:val="0"/>
      <w:marBottom w:val="0"/>
      <w:divBdr>
        <w:top w:val="none" w:sz="0" w:space="0" w:color="auto"/>
        <w:left w:val="none" w:sz="0" w:space="0" w:color="auto"/>
        <w:bottom w:val="none" w:sz="0" w:space="0" w:color="auto"/>
        <w:right w:val="none" w:sz="0" w:space="0" w:color="auto"/>
      </w:divBdr>
    </w:div>
    <w:div w:id="1413965660">
      <w:bodyDiv w:val="1"/>
      <w:marLeft w:val="0"/>
      <w:marRight w:val="0"/>
      <w:marTop w:val="0"/>
      <w:marBottom w:val="0"/>
      <w:divBdr>
        <w:top w:val="none" w:sz="0" w:space="0" w:color="auto"/>
        <w:left w:val="none" w:sz="0" w:space="0" w:color="auto"/>
        <w:bottom w:val="none" w:sz="0" w:space="0" w:color="auto"/>
        <w:right w:val="none" w:sz="0" w:space="0" w:color="auto"/>
      </w:divBdr>
    </w:div>
    <w:div w:id="1420566638">
      <w:bodyDiv w:val="1"/>
      <w:marLeft w:val="0"/>
      <w:marRight w:val="0"/>
      <w:marTop w:val="0"/>
      <w:marBottom w:val="0"/>
      <w:divBdr>
        <w:top w:val="none" w:sz="0" w:space="0" w:color="auto"/>
        <w:left w:val="none" w:sz="0" w:space="0" w:color="auto"/>
        <w:bottom w:val="none" w:sz="0" w:space="0" w:color="auto"/>
        <w:right w:val="none" w:sz="0" w:space="0" w:color="auto"/>
      </w:divBdr>
    </w:div>
    <w:div w:id="1422683138">
      <w:bodyDiv w:val="1"/>
      <w:marLeft w:val="0"/>
      <w:marRight w:val="0"/>
      <w:marTop w:val="0"/>
      <w:marBottom w:val="0"/>
      <w:divBdr>
        <w:top w:val="none" w:sz="0" w:space="0" w:color="auto"/>
        <w:left w:val="none" w:sz="0" w:space="0" w:color="auto"/>
        <w:bottom w:val="none" w:sz="0" w:space="0" w:color="auto"/>
        <w:right w:val="none" w:sz="0" w:space="0" w:color="auto"/>
      </w:divBdr>
    </w:div>
    <w:div w:id="1424759548">
      <w:bodyDiv w:val="1"/>
      <w:marLeft w:val="0"/>
      <w:marRight w:val="0"/>
      <w:marTop w:val="0"/>
      <w:marBottom w:val="0"/>
      <w:divBdr>
        <w:top w:val="none" w:sz="0" w:space="0" w:color="auto"/>
        <w:left w:val="none" w:sz="0" w:space="0" w:color="auto"/>
        <w:bottom w:val="none" w:sz="0" w:space="0" w:color="auto"/>
        <w:right w:val="none" w:sz="0" w:space="0" w:color="auto"/>
      </w:divBdr>
    </w:div>
    <w:div w:id="1425372899">
      <w:bodyDiv w:val="1"/>
      <w:marLeft w:val="0"/>
      <w:marRight w:val="0"/>
      <w:marTop w:val="0"/>
      <w:marBottom w:val="0"/>
      <w:divBdr>
        <w:top w:val="none" w:sz="0" w:space="0" w:color="auto"/>
        <w:left w:val="none" w:sz="0" w:space="0" w:color="auto"/>
        <w:bottom w:val="none" w:sz="0" w:space="0" w:color="auto"/>
        <w:right w:val="none" w:sz="0" w:space="0" w:color="auto"/>
      </w:divBdr>
    </w:div>
    <w:div w:id="1425494471">
      <w:bodyDiv w:val="1"/>
      <w:marLeft w:val="0"/>
      <w:marRight w:val="0"/>
      <w:marTop w:val="0"/>
      <w:marBottom w:val="0"/>
      <w:divBdr>
        <w:top w:val="none" w:sz="0" w:space="0" w:color="auto"/>
        <w:left w:val="none" w:sz="0" w:space="0" w:color="auto"/>
        <w:bottom w:val="none" w:sz="0" w:space="0" w:color="auto"/>
        <w:right w:val="none" w:sz="0" w:space="0" w:color="auto"/>
      </w:divBdr>
    </w:div>
    <w:div w:id="1430541629">
      <w:bodyDiv w:val="1"/>
      <w:marLeft w:val="0"/>
      <w:marRight w:val="0"/>
      <w:marTop w:val="0"/>
      <w:marBottom w:val="0"/>
      <w:divBdr>
        <w:top w:val="none" w:sz="0" w:space="0" w:color="auto"/>
        <w:left w:val="none" w:sz="0" w:space="0" w:color="auto"/>
        <w:bottom w:val="none" w:sz="0" w:space="0" w:color="auto"/>
        <w:right w:val="none" w:sz="0" w:space="0" w:color="auto"/>
      </w:divBdr>
    </w:div>
    <w:div w:id="1431046192">
      <w:bodyDiv w:val="1"/>
      <w:marLeft w:val="0"/>
      <w:marRight w:val="0"/>
      <w:marTop w:val="0"/>
      <w:marBottom w:val="0"/>
      <w:divBdr>
        <w:top w:val="none" w:sz="0" w:space="0" w:color="auto"/>
        <w:left w:val="none" w:sz="0" w:space="0" w:color="auto"/>
        <w:bottom w:val="none" w:sz="0" w:space="0" w:color="auto"/>
        <w:right w:val="none" w:sz="0" w:space="0" w:color="auto"/>
      </w:divBdr>
    </w:div>
    <w:div w:id="1431778659">
      <w:bodyDiv w:val="1"/>
      <w:marLeft w:val="0"/>
      <w:marRight w:val="0"/>
      <w:marTop w:val="0"/>
      <w:marBottom w:val="0"/>
      <w:divBdr>
        <w:top w:val="none" w:sz="0" w:space="0" w:color="auto"/>
        <w:left w:val="none" w:sz="0" w:space="0" w:color="auto"/>
        <w:bottom w:val="none" w:sz="0" w:space="0" w:color="auto"/>
        <w:right w:val="none" w:sz="0" w:space="0" w:color="auto"/>
      </w:divBdr>
    </w:div>
    <w:div w:id="1433208782">
      <w:bodyDiv w:val="1"/>
      <w:marLeft w:val="0"/>
      <w:marRight w:val="0"/>
      <w:marTop w:val="0"/>
      <w:marBottom w:val="0"/>
      <w:divBdr>
        <w:top w:val="none" w:sz="0" w:space="0" w:color="auto"/>
        <w:left w:val="none" w:sz="0" w:space="0" w:color="auto"/>
        <w:bottom w:val="none" w:sz="0" w:space="0" w:color="auto"/>
        <w:right w:val="none" w:sz="0" w:space="0" w:color="auto"/>
      </w:divBdr>
    </w:div>
    <w:div w:id="1434280792">
      <w:bodyDiv w:val="1"/>
      <w:marLeft w:val="0"/>
      <w:marRight w:val="0"/>
      <w:marTop w:val="0"/>
      <w:marBottom w:val="0"/>
      <w:divBdr>
        <w:top w:val="none" w:sz="0" w:space="0" w:color="auto"/>
        <w:left w:val="none" w:sz="0" w:space="0" w:color="auto"/>
        <w:bottom w:val="none" w:sz="0" w:space="0" w:color="auto"/>
        <w:right w:val="none" w:sz="0" w:space="0" w:color="auto"/>
      </w:divBdr>
    </w:div>
    <w:div w:id="1436287164">
      <w:bodyDiv w:val="1"/>
      <w:marLeft w:val="0"/>
      <w:marRight w:val="0"/>
      <w:marTop w:val="0"/>
      <w:marBottom w:val="0"/>
      <w:divBdr>
        <w:top w:val="none" w:sz="0" w:space="0" w:color="auto"/>
        <w:left w:val="none" w:sz="0" w:space="0" w:color="auto"/>
        <w:bottom w:val="none" w:sz="0" w:space="0" w:color="auto"/>
        <w:right w:val="none" w:sz="0" w:space="0" w:color="auto"/>
      </w:divBdr>
    </w:div>
    <w:div w:id="1437167436">
      <w:bodyDiv w:val="1"/>
      <w:marLeft w:val="0"/>
      <w:marRight w:val="0"/>
      <w:marTop w:val="0"/>
      <w:marBottom w:val="0"/>
      <w:divBdr>
        <w:top w:val="none" w:sz="0" w:space="0" w:color="auto"/>
        <w:left w:val="none" w:sz="0" w:space="0" w:color="auto"/>
        <w:bottom w:val="none" w:sz="0" w:space="0" w:color="auto"/>
        <w:right w:val="none" w:sz="0" w:space="0" w:color="auto"/>
      </w:divBdr>
    </w:div>
    <w:div w:id="1438136471">
      <w:bodyDiv w:val="1"/>
      <w:marLeft w:val="0"/>
      <w:marRight w:val="0"/>
      <w:marTop w:val="0"/>
      <w:marBottom w:val="0"/>
      <w:divBdr>
        <w:top w:val="none" w:sz="0" w:space="0" w:color="auto"/>
        <w:left w:val="none" w:sz="0" w:space="0" w:color="auto"/>
        <w:bottom w:val="none" w:sz="0" w:space="0" w:color="auto"/>
        <w:right w:val="none" w:sz="0" w:space="0" w:color="auto"/>
      </w:divBdr>
    </w:div>
    <w:div w:id="1439982993">
      <w:bodyDiv w:val="1"/>
      <w:marLeft w:val="0"/>
      <w:marRight w:val="0"/>
      <w:marTop w:val="0"/>
      <w:marBottom w:val="0"/>
      <w:divBdr>
        <w:top w:val="none" w:sz="0" w:space="0" w:color="auto"/>
        <w:left w:val="none" w:sz="0" w:space="0" w:color="auto"/>
        <w:bottom w:val="none" w:sz="0" w:space="0" w:color="auto"/>
        <w:right w:val="none" w:sz="0" w:space="0" w:color="auto"/>
      </w:divBdr>
    </w:div>
    <w:div w:id="1441678038">
      <w:bodyDiv w:val="1"/>
      <w:marLeft w:val="0"/>
      <w:marRight w:val="0"/>
      <w:marTop w:val="0"/>
      <w:marBottom w:val="0"/>
      <w:divBdr>
        <w:top w:val="none" w:sz="0" w:space="0" w:color="auto"/>
        <w:left w:val="none" w:sz="0" w:space="0" w:color="auto"/>
        <w:bottom w:val="none" w:sz="0" w:space="0" w:color="auto"/>
        <w:right w:val="none" w:sz="0" w:space="0" w:color="auto"/>
      </w:divBdr>
    </w:div>
    <w:div w:id="1442069725">
      <w:bodyDiv w:val="1"/>
      <w:marLeft w:val="0"/>
      <w:marRight w:val="0"/>
      <w:marTop w:val="0"/>
      <w:marBottom w:val="0"/>
      <w:divBdr>
        <w:top w:val="none" w:sz="0" w:space="0" w:color="auto"/>
        <w:left w:val="none" w:sz="0" w:space="0" w:color="auto"/>
        <w:bottom w:val="none" w:sz="0" w:space="0" w:color="auto"/>
        <w:right w:val="none" w:sz="0" w:space="0" w:color="auto"/>
      </w:divBdr>
    </w:div>
    <w:div w:id="1443651951">
      <w:bodyDiv w:val="1"/>
      <w:marLeft w:val="0"/>
      <w:marRight w:val="0"/>
      <w:marTop w:val="0"/>
      <w:marBottom w:val="0"/>
      <w:divBdr>
        <w:top w:val="none" w:sz="0" w:space="0" w:color="auto"/>
        <w:left w:val="none" w:sz="0" w:space="0" w:color="auto"/>
        <w:bottom w:val="none" w:sz="0" w:space="0" w:color="auto"/>
        <w:right w:val="none" w:sz="0" w:space="0" w:color="auto"/>
      </w:divBdr>
    </w:div>
    <w:div w:id="1446846689">
      <w:bodyDiv w:val="1"/>
      <w:marLeft w:val="0"/>
      <w:marRight w:val="0"/>
      <w:marTop w:val="0"/>
      <w:marBottom w:val="0"/>
      <w:divBdr>
        <w:top w:val="none" w:sz="0" w:space="0" w:color="auto"/>
        <w:left w:val="none" w:sz="0" w:space="0" w:color="auto"/>
        <w:bottom w:val="none" w:sz="0" w:space="0" w:color="auto"/>
        <w:right w:val="none" w:sz="0" w:space="0" w:color="auto"/>
      </w:divBdr>
    </w:div>
    <w:div w:id="1448619112">
      <w:bodyDiv w:val="1"/>
      <w:marLeft w:val="0"/>
      <w:marRight w:val="0"/>
      <w:marTop w:val="0"/>
      <w:marBottom w:val="0"/>
      <w:divBdr>
        <w:top w:val="none" w:sz="0" w:space="0" w:color="auto"/>
        <w:left w:val="none" w:sz="0" w:space="0" w:color="auto"/>
        <w:bottom w:val="none" w:sz="0" w:space="0" w:color="auto"/>
        <w:right w:val="none" w:sz="0" w:space="0" w:color="auto"/>
      </w:divBdr>
    </w:div>
    <w:div w:id="1450903418">
      <w:bodyDiv w:val="1"/>
      <w:marLeft w:val="0"/>
      <w:marRight w:val="0"/>
      <w:marTop w:val="0"/>
      <w:marBottom w:val="0"/>
      <w:divBdr>
        <w:top w:val="none" w:sz="0" w:space="0" w:color="auto"/>
        <w:left w:val="none" w:sz="0" w:space="0" w:color="auto"/>
        <w:bottom w:val="none" w:sz="0" w:space="0" w:color="auto"/>
        <w:right w:val="none" w:sz="0" w:space="0" w:color="auto"/>
      </w:divBdr>
    </w:div>
    <w:div w:id="1451630251">
      <w:bodyDiv w:val="1"/>
      <w:marLeft w:val="0"/>
      <w:marRight w:val="0"/>
      <w:marTop w:val="0"/>
      <w:marBottom w:val="0"/>
      <w:divBdr>
        <w:top w:val="none" w:sz="0" w:space="0" w:color="auto"/>
        <w:left w:val="none" w:sz="0" w:space="0" w:color="auto"/>
        <w:bottom w:val="none" w:sz="0" w:space="0" w:color="auto"/>
        <w:right w:val="none" w:sz="0" w:space="0" w:color="auto"/>
      </w:divBdr>
    </w:div>
    <w:div w:id="1451894307">
      <w:bodyDiv w:val="1"/>
      <w:marLeft w:val="0"/>
      <w:marRight w:val="0"/>
      <w:marTop w:val="0"/>
      <w:marBottom w:val="0"/>
      <w:divBdr>
        <w:top w:val="none" w:sz="0" w:space="0" w:color="auto"/>
        <w:left w:val="none" w:sz="0" w:space="0" w:color="auto"/>
        <w:bottom w:val="none" w:sz="0" w:space="0" w:color="auto"/>
        <w:right w:val="none" w:sz="0" w:space="0" w:color="auto"/>
      </w:divBdr>
    </w:div>
    <w:div w:id="1452047546">
      <w:bodyDiv w:val="1"/>
      <w:marLeft w:val="0"/>
      <w:marRight w:val="0"/>
      <w:marTop w:val="0"/>
      <w:marBottom w:val="0"/>
      <w:divBdr>
        <w:top w:val="none" w:sz="0" w:space="0" w:color="auto"/>
        <w:left w:val="none" w:sz="0" w:space="0" w:color="auto"/>
        <w:bottom w:val="none" w:sz="0" w:space="0" w:color="auto"/>
        <w:right w:val="none" w:sz="0" w:space="0" w:color="auto"/>
      </w:divBdr>
    </w:div>
    <w:div w:id="1455827367">
      <w:bodyDiv w:val="1"/>
      <w:marLeft w:val="0"/>
      <w:marRight w:val="0"/>
      <w:marTop w:val="0"/>
      <w:marBottom w:val="0"/>
      <w:divBdr>
        <w:top w:val="none" w:sz="0" w:space="0" w:color="auto"/>
        <w:left w:val="none" w:sz="0" w:space="0" w:color="auto"/>
        <w:bottom w:val="none" w:sz="0" w:space="0" w:color="auto"/>
        <w:right w:val="none" w:sz="0" w:space="0" w:color="auto"/>
      </w:divBdr>
    </w:div>
    <w:div w:id="1458135497">
      <w:bodyDiv w:val="1"/>
      <w:marLeft w:val="0"/>
      <w:marRight w:val="0"/>
      <w:marTop w:val="0"/>
      <w:marBottom w:val="0"/>
      <w:divBdr>
        <w:top w:val="none" w:sz="0" w:space="0" w:color="auto"/>
        <w:left w:val="none" w:sz="0" w:space="0" w:color="auto"/>
        <w:bottom w:val="none" w:sz="0" w:space="0" w:color="auto"/>
        <w:right w:val="none" w:sz="0" w:space="0" w:color="auto"/>
      </w:divBdr>
    </w:div>
    <w:div w:id="1458449599">
      <w:bodyDiv w:val="1"/>
      <w:marLeft w:val="0"/>
      <w:marRight w:val="0"/>
      <w:marTop w:val="0"/>
      <w:marBottom w:val="0"/>
      <w:divBdr>
        <w:top w:val="none" w:sz="0" w:space="0" w:color="auto"/>
        <w:left w:val="none" w:sz="0" w:space="0" w:color="auto"/>
        <w:bottom w:val="none" w:sz="0" w:space="0" w:color="auto"/>
        <w:right w:val="none" w:sz="0" w:space="0" w:color="auto"/>
      </w:divBdr>
    </w:div>
    <w:div w:id="1461610590">
      <w:bodyDiv w:val="1"/>
      <w:marLeft w:val="0"/>
      <w:marRight w:val="0"/>
      <w:marTop w:val="0"/>
      <w:marBottom w:val="0"/>
      <w:divBdr>
        <w:top w:val="none" w:sz="0" w:space="0" w:color="auto"/>
        <w:left w:val="none" w:sz="0" w:space="0" w:color="auto"/>
        <w:bottom w:val="none" w:sz="0" w:space="0" w:color="auto"/>
        <w:right w:val="none" w:sz="0" w:space="0" w:color="auto"/>
      </w:divBdr>
    </w:div>
    <w:div w:id="1462723591">
      <w:bodyDiv w:val="1"/>
      <w:marLeft w:val="0"/>
      <w:marRight w:val="0"/>
      <w:marTop w:val="0"/>
      <w:marBottom w:val="0"/>
      <w:divBdr>
        <w:top w:val="none" w:sz="0" w:space="0" w:color="auto"/>
        <w:left w:val="none" w:sz="0" w:space="0" w:color="auto"/>
        <w:bottom w:val="none" w:sz="0" w:space="0" w:color="auto"/>
        <w:right w:val="none" w:sz="0" w:space="0" w:color="auto"/>
      </w:divBdr>
    </w:div>
    <w:div w:id="1463229214">
      <w:bodyDiv w:val="1"/>
      <w:marLeft w:val="0"/>
      <w:marRight w:val="0"/>
      <w:marTop w:val="0"/>
      <w:marBottom w:val="0"/>
      <w:divBdr>
        <w:top w:val="none" w:sz="0" w:space="0" w:color="auto"/>
        <w:left w:val="none" w:sz="0" w:space="0" w:color="auto"/>
        <w:bottom w:val="none" w:sz="0" w:space="0" w:color="auto"/>
        <w:right w:val="none" w:sz="0" w:space="0" w:color="auto"/>
      </w:divBdr>
    </w:div>
    <w:div w:id="1463577519">
      <w:bodyDiv w:val="1"/>
      <w:marLeft w:val="0"/>
      <w:marRight w:val="0"/>
      <w:marTop w:val="0"/>
      <w:marBottom w:val="0"/>
      <w:divBdr>
        <w:top w:val="none" w:sz="0" w:space="0" w:color="auto"/>
        <w:left w:val="none" w:sz="0" w:space="0" w:color="auto"/>
        <w:bottom w:val="none" w:sz="0" w:space="0" w:color="auto"/>
        <w:right w:val="none" w:sz="0" w:space="0" w:color="auto"/>
      </w:divBdr>
    </w:div>
    <w:div w:id="1463959157">
      <w:bodyDiv w:val="1"/>
      <w:marLeft w:val="0"/>
      <w:marRight w:val="0"/>
      <w:marTop w:val="0"/>
      <w:marBottom w:val="0"/>
      <w:divBdr>
        <w:top w:val="none" w:sz="0" w:space="0" w:color="auto"/>
        <w:left w:val="none" w:sz="0" w:space="0" w:color="auto"/>
        <w:bottom w:val="none" w:sz="0" w:space="0" w:color="auto"/>
        <w:right w:val="none" w:sz="0" w:space="0" w:color="auto"/>
      </w:divBdr>
    </w:div>
    <w:div w:id="1464618976">
      <w:bodyDiv w:val="1"/>
      <w:marLeft w:val="0"/>
      <w:marRight w:val="0"/>
      <w:marTop w:val="0"/>
      <w:marBottom w:val="0"/>
      <w:divBdr>
        <w:top w:val="none" w:sz="0" w:space="0" w:color="auto"/>
        <w:left w:val="none" w:sz="0" w:space="0" w:color="auto"/>
        <w:bottom w:val="none" w:sz="0" w:space="0" w:color="auto"/>
        <w:right w:val="none" w:sz="0" w:space="0" w:color="auto"/>
      </w:divBdr>
    </w:div>
    <w:div w:id="1465855524">
      <w:bodyDiv w:val="1"/>
      <w:marLeft w:val="0"/>
      <w:marRight w:val="0"/>
      <w:marTop w:val="0"/>
      <w:marBottom w:val="0"/>
      <w:divBdr>
        <w:top w:val="none" w:sz="0" w:space="0" w:color="auto"/>
        <w:left w:val="none" w:sz="0" w:space="0" w:color="auto"/>
        <w:bottom w:val="none" w:sz="0" w:space="0" w:color="auto"/>
        <w:right w:val="none" w:sz="0" w:space="0" w:color="auto"/>
      </w:divBdr>
    </w:div>
    <w:div w:id="1470510211">
      <w:bodyDiv w:val="1"/>
      <w:marLeft w:val="0"/>
      <w:marRight w:val="0"/>
      <w:marTop w:val="0"/>
      <w:marBottom w:val="0"/>
      <w:divBdr>
        <w:top w:val="none" w:sz="0" w:space="0" w:color="auto"/>
        <w:left w:val="none" w:sz="0" w:space="0" w:color="auto"/>
        <w:bottom w:val="none" w:sz="0" w:space="0" w:color="auto"/>
        <w:right w:val="none" w:sz="0" w:space="0" w:color="auto"/>
      </w:divBdr>
    </w:div>
    <w:div w:id="1470632362">
      <w:bodyDiv w:val="1"/>
      <w:marLeft w:val="0"/>
      <w:marRight w:val="0"/>
      <w:marTop w:val="0"/>
      <w:marBottom w:val="0"/>
      <w:divBdr>
        <w:top w:val="none" w:sz="0" w:space="0" w:color="auto"/>
        <w:left w:val="none" w:sz="0" w:space="0" w:color="auto"/>
        <w:bottom w:val="none" w:sz="0" w:space="0" w:color="auto"/>
        <w:right w:val="none" w:sz="0" w:space="0" w:color="auto"/>
      </w:divBdr>
    </w:div>
    <w:div w:id="1473057252">
      <w:bodyDiv w:val="1"/>
      <w:marLeft w:val="0"/>
      <w:marRight w:val="0"/>
      <w:marTop w:val="0"/>
      <w:marBottom w:val="0"/>
      <w:divBdr>
        <w:top w:val="none" w:sz="0" w:space="0" w:color="auto"/>
        <w:left w:val="none" w:sz="0" w:space="0" w:color="auto"/>
        <w:bottom w:val="none" w:sz="0" w:space="0" w:color="auto"/>
        <w:right w:val="none" w:sz="0" w:space="0" w:color="auto"/>
      </w:divBdr>
    </w:div>
    <w:div w:id="1473673499">
      <w:bodyDiv w:val="1"/>
      <w:marLeft w:val="0"/>
      <w:marRight w:val="0"/>
      <w:marTop w:val="0"/>
      <w:marBottom w:val="0"/>
      <w:divBdr>
        <w:top w:val="none" w:sz="0" w:space="0" w:color="auto"/>
        <w:left w:val="none" w:sz="0" w:space="0" w:color="auto"/>
        <w:bottom w:val="none" w:sz="0" w:space="0" w:color="auto"/>
        <w:right w:val="none" w:sz="0" w:space="0" w:color="auto"/>
      </w:divBdr>
    </w:div>
    <w:div w:id="1473978999">
      <w:bodyDiv w:val="1"/>
      <w:marLeft w:val="0"/>
      <w:marRight w:val="0"/>
      <w:marTop w:val="0"/>
      <w:marBottom w:val="0"/>
      <w:divBdr>
        <w:top w:val="none" w:sz="0" w:space="0" w:color="auto"/>
        <w:left w:val="none" w:sz="0" w:space="0" w:color="auto"/>
        <w:bottom w:val="none" w:sz="0" w:space="0" w:color="auto"/>
        <w:right w:val="none" w:sz="0" w:space="0" w:color="auto"/>
      </w:divBdr>
    </w:div>
    <w:div w:id="1474179937">
      <w:bodyDiv w:val="1"/>
      <w:marLeft w:val="0"/>
      <w:marRight w:val="0"/>
      <w:marTop w:val="0"/>
      <w:marBottom w:val="0"/>
      <w:divBdr>
        <w:top w:val="none" w:sz="0" w:space="0" w:color="auto"/>
        <w:left w:val="none" w:sz="0" w:space="0" w:color="auto"/>
        <w:bottom w:val="none" w:sz="0" w:space="0" w:color="auto"/>
        <w:right w:val="none" w:sz="0" w:space="0" w:color="auto"/>
      </w:divBdr>
    </w:div>
    <w:div w:id="1477911675">
      <w:bodyDiv w:val="1"/>
      <w:marLeft w:val="0"/>
      <w:marRight w:val="0"/>
      <w:marTop w:val="0"/>
      <w:marBottom w:val="0"/>
      <w:divBdr>
        <w:top w:val="none" w:sz="0" w:space="0" w:color="auto"/>
        <w:left w:val="none" w:sz="0" w:space="0" w:color="auto"/>
        <w:bottom w:val="none" w:sz="0" w:space="0" w:color="auto"/>
        <w:right w:val="none" w:sz="0" w:space="0" w:color="auto"/>
      </w:divBdr>
    </w:div>
    <w:div w:id="1479030647">
      <w:bodyDiv w:val="1"/>
      <w:marLeft w:val="0"/>
      <w:marRight w:val="0"/>
      <w:marTop w:val="0"/>
      <w:marBottom w:val="0"/>
      <w:divBdr>
        <w:top w:val="none" w:sz="0" w:space="0" w:color="auto"/>
        <w:left w:val="none" w:sz="0" w:space="0" w:color="auto"/>
        <w:bottom w:val="none" w:sz="0" w:space="0" w:color="auto"/>
        <w:right w:val="none" w:sz="0" w:space="0" w:color="auto"/>
      </w:divBdr>
    </w:div>
    <w:div w:id="1479227316">
      <w:bodyDiv w:val="1"/>
      <w:marLeft w:val="0"/>
      <w:marRight w:val="0"/>
      <w:marTop w:val="0"/>
      <w:marBottom w:val="0"/>
      <w:divBdr>
        <w:top w:val="none" w:sz="0" w:space="0" w:color="auto"/>
        <w:left w:val="none" w:sz="0" w:space="0" w:color="auto"/>
        <w:bottom w:val="none" w:sz="0" w:space="0" w:color="auto"/>
        <w:right w:val="none" w:sz="0" w:space="0" w:color="auto"/>
      </w:divBdr>
    </w:div>
    <w:div w:id="1480146089">
      <w:bodyDiv w:val="1"/>
      <w:marLeft w:val="0"/>
      <w:marRight w:val="0"/>
      <w:marTop w:val="0"/>
      <w:marBottom w:val="0"/>
      <w:divBdr>
        <w:top w:val="none" w:sz="0" w:space="0" w:color="auto"/>
        <w:left w:val="none" w:sz="0" w:space="0" w:color="auto"/>
        <w:bottom w:val="none" w:sz="0" w:space="0" w:color="auto"/>
        <w:right w:val="none" w:sz="0" w:space="0" w:color="auto"/>
      </w:divBdr>
    </w:div>
    <w:div w:id="1480881888">
      <w:bodyDiv w:val="1"/>
      <w:marLeft w:val="0"/>
      <w:marRight w:val="0"/>
      <w:marTop w:val="0"/>
      <w:marBottom w:val="0"/>
      <w:divBdr>
        <w:top w:val="none" w:sz="0" w:space="0" w:color="auto"/>
        <w:left w:val="none" w:sz="0" w:space="0" w:color="auto"/>
        <w:bottom w:val="none" w:sz="0" w:space="0" w:color="auto"/>
        <w:right w:val="none" w:sz="0" w:space="0" w:color="auto"/>
      </w:divBdr>
    </w:div>
    <w:div w:id="1480993977">
      <w:bodyDiv w:val="1"/>
      <w:marLeft w:val="0"/>
      <w:marRight w:val="0"/>
      <w:marTop w:val="0"/>
      <w:marBottom w:val="0"/>
      <w:divBdr>
        <w:top w:val="none" w:sz="0" w:space="0" w:color="auto"/>
        <w:left w:val="none" w:sz="0" w:space="0" w:color="auto"/>
        <w:bottom w:val="none" w:sz="0" w:space="0" w:color="auto"/>
        <w:right w:val="none" w:sz="0" w:space="0" w:color="auto"/>
      </w:divBdr>
    </w:div>
    <w:div w:id="1483304122">
      <w:bodyDiv w:val="1"/>
      <w:marLeft w:val="0"/>
      <w:marRight w:val="0"/>
      <w:marTop w:val="0"/>
      <w:marBottom w:val="0"/>
      <w:divBdr>
        <w:top w:val="none" w:sz="0" w:space="0" w:color="auto"/>
        <w:left w:val="none" w:sz="0" w:space="0" w:color="auto"/>
        <w:bottom w:val="none" w:sz="0" w:space="0" w:color="auto"/>
        <w:right w:val="none" w:sz="0" w:space="0" w:color="auto"/>
      </w:divBdr>
    </w:div>
    <w:div w:id="1486554614">
      <w:bodyDiv w:val="1"/>
      <w:marLeft w:val="0"/>
      <w:marRight w:val="0"/>
      <w:marTop w:val="0"/>
      <w:marBottom w:val="0"/>
      <w:divBdr>
        <w:top w:val="none" w:sz="0" w:space="0" w:color="auto"/>
        <w:left w:val="none" w:sz="0" w:space="0" w:color="auto"/>
        <w:bottom w:val="none" w:sz="0" w:space="0" w:color="auto"/>
        <w:right w:val="none" w:sz="0" w:space="0" w:color="auto"/>
      </w:divBdr>
    </w:div>
    <w:div w:id="1487168356">
      <w:bodyDiv w:val="1"/>
      <w:marLeft w:val="0"/>
      <w:marRight w:val="0"/>
      <w:marTop w:val="0"/>
      <w:marBottom w:val="0"/>
      <w:divBdr>
        <w:top w:val="none" w:sz="0" w:space="0" w:color="auto"/>
        <w:left w:val="none" w:sz="0" w:space="0" w:color="auto"/>
        <w:bottom w:val="none" w:sz="0" w:space="0" w:color="auto"/>
        <w:right w:val="none" w:sz="0" w:space="0" w:color="auto"/>
      </w:divBdr>
    </w:div>
    <w:div w:id="1490291703">
      <w:bodyDiv w:val="1"/>
      <w:marLeft w:val="0"/>
      <w:marRight w:val="0"/>
      <w:marTop w:val="0"/>
      <w:marBottom w:val="0"/>
      <w:divBdr>
        <w:top w:val="none" w:sz="0" w:space="0" w:color="auto"/>
        <w:left w:val="none" w:sz="0" w:space="0" w:color="auto"/>
        <w:bottom w:val="none" w:sz="0" w:space="0" w:color="auto"/>
        <w:right w:val="none" w:sz="0" w:space="0" w:color="auto"/>
      </w:divBdr>
    </w:div>
    <w:div w:id="1490442115">
      <w:bodyDiv w:val="1"/>
      <w:marLeft w:val="0"/>
      <w:marRight w:val="0"/>
      <w:marTop w:val="0"/>
      <w:marBottom w:val="0"/>
      <w:divBdr>
        <w:top w:val="none" w:sz="0" w:space="0" w:color="auto"/>
        <w:left w:val="none" w:sz="0" w:space="0" w:color="auto"/>
        <w:bottom w:val="none" w:sz="0" w:space="0" w:color="auto"/>
        <w:right w:val="none" w:sz="0" w:space="0" w:color="auto"/>
      </w:divBdr>
    </w:div>
    <w:div w:id="1490445720">
      <w:bodyDiv w:val="1"/>
      <w:marLeft w:val="0"/>
      <w:marRight w:val="0"/>
      <w:marTop w:val="0"/>
      <w:marBottom w:val="0"/>
      <w:divBdr>
        <w:top w:val="none" w:sz="0" w:space="0" w:color="auto"/>
        <w:left w:val="none" w:sz="0" w:space="0" w:color="auto"/>
        <w:bottom w:val="none" w:sz="0" w:space="0" w:color="auto"/>
        <w:right w:val="none" w:sz="0" w:space="0" w:color="auto"/>
      </w:divBdr>
    </w:div>
    <w:div w:id="1490513834">
      <w:bodyDiv w:val="1"/>
      <w:marLeft w:val="0"/>
      <w:marRight w:val="0"/>
      <w:marTop w:val="0"/>
      <w:marBottom w:val="0"/>
      <w:divBdr>
        <w:top w:val="none" w:sz="0" w:space="0" w:color="auto"/>
        <w:left w:val="none" w:sz="0" w:space="0" w:color="auto"/>
        <w:bottom w:val="none" w:sz="0" w:space="0" w:color="auto"/>
        <w:right w:val="none" w:sz="0" w:space="0" w:color="auto"/>
      </w:divBdr>
    </w:div>
    <w:div w:id="1493060441">
      <w:bodyDiv w:val="1"/>
      <w:marLeft w:val="0"/>
      <w:marRight w:val="0"/>
      <w:marTop w:val="0"/>
      <w:marBottom w:val="0"/>
      <w:divBdr>
        <w:top w:val="none" w:sz="0" w:space="0" w:color="auto"/>
        <w:left w:val="none" w:sz="0" w:space="0" w:color="auto"/>
        <w:bottom w:val="none" w:sz="0" w:space="0" w:color="auto"/>
        <w:right w:val="none" w:sz="0" w:space="0" w:color="auto"/>
      </w:divBdr>
    </w:div>
    <w:div w:id="1494485856">
      <w:bodyDiv w:val="1"/>
      <w:marLeft w:val="0"/>
      <w:marRight w:val="0"/>
      <w:marTop w:val="0"/>
      <w:marBottom w:val="0"/>
      <w:divBdr>
        <w:top w:val="none" w:sz="0" w:space="0" w:color="auto"/>
        <w:left w:val="none" w:sz="0" w:space="0" w:color="auto"/>
        <w:bottom w:val="none" w:sz="0" w:space="0" w:color="auto"/>
        <w:right w:val="none" w:sz="0" w:space="0" w:color="auto"/>
      </w:divBdr>
    </w:div>
    <w:div w:id="1495490527">
      <w:bodyDiv w:val="1"/>
      <w:marLeft w:val="0"/>
      <w:marRight w:val="0"/>
      <w:marTop w:val="0"/>
      <w:marBottom w:val="0"/>
      <w:divBdr>
        <w:top w:val="none" w:sz="0" w:space="0" w:color="auto"/>
        <w:left w:val="none" w:sz="0" w:space="0" w:color="auto"/>
        <w:bottom w:val="none" w:sz="0" w:space="0" w:color="auto"/>
        <w:right w:val="none" w:sz="0" w:space="0" w:color="auto"/>
      </w:divBdr>
    </w:div>
    <w:div w:id="1495803728">
      <w:bodyDiv w:val="1"/>
      <w:marLeft w:val="0"/>
      <w:marRight w:val="0"/>
      <w:marTop w:val="0"/>
      <w:marBottom w:val="0"/>
      <w:divBdr>
        <w:top w:val="none" w:sz="0" w:space="0" w:color="auto"/>
        <w:left w:val="none" w:sz="0" w:space="0" w:color="auto"/>
        <w:bottom w:val="none" w:sz="0" w:space="0" w:color="auto"/>
        <w:right w:val="none" w:sz="0" w:space="0" w:color="auto"/>
      </w:divBdr>
    </w:div>
    <w:div w:id="1496650853">
      <w:bodyDiv w:val="1"/>
      <w:marLeft w:val="0"/>
      <w:marRight w:val="0"/>
      <w:marTop w:val="0"/>
      <w:marBottom w:val="0"/>
      <w:divBdr>
        <w:top w:val="none" w:sz="0" w:space="0" w:color="auto"/>
        <w:left w:val="none" w:sz="0" w:space="0" w:color="auto"/>
        <w:bottom w:val="none" w:sz="0" w:space="0" w:color="auto"/>
        <w:right w:val="none" w:sz="0" w:space="0" w:color="auto"/>
      </w:divBdr>
    </w:div>
    <w:div w:id="1500731027">
      <w:bodyDiv w:val="1"/>
      <w:marLeft w:val="0"/>
      <w:marRight w:val="0"/>
      <w:marTop w:val="0"/>
      <w:marBottom w:val="0"/>
      <w:divBdr>
        <w:top w:val="none" w:sz="0" w:space="0" w:color="auto"/>
        <w:left w:val="none" w:sz="0" w:space="0" w:color="auto"/>
        <w:bottom w:val="none" w:sz="0" w:space="0" w:color="auto"/>
        <w:right w:val="none" w:sz="0" w:space="0" w:color="auto"/>
      </w:divBdr>
    </w:div>
    <w:div w:id="1501769360">
      <w:bodyDiv w:val="1"/>
      <w:marLeft w:val="0"/>
      <w:marRight w:val="0"/>
      <w:marTop w:val="0"/>
      <w:marBottom w:val="0"/>
      <w:divBdr>
        <w:top w:val="none" w:sz="0" w:space="0" w:color="auto"/>
        <w:left w:val="none" w:sz="0" w:space="0" w:color="auto"/>
        <w:bottom w:val="none" w:sz="0" w:space="0" w:color="auto"/>
        <w:right w:val="none" w:sz="0" w:space="0" w:color="auto"/>
      </w:divBdr>
    </w:div>
    <w:div w:id="1502037556">
      <w:bodyDiv w:val="1"/>
      <w:marLeft w:val="0"/>
      <w:marRight w:val="0"/>
      <w:marTop w:val="0"/>
      <w:marBottom w:val="0"/>
      <w:divBdr>
        <w:top w:val="none" w:sz="0" w:space="0" w:color="auto"/>
        <w:left w:val="none" w:sz="0" w:space="0" w:color="auto"/>
        <w:bottom w:val="none" w:sz="0" w:space="0" w:color="auto"/>
        <w:right w:val="none" w:sz="0" w:space="0" w:color="auto"/>
      </w:divBdr>
    </w:div>
    <w:div w:id="1503281362">
      <w:bodyDiv w:val="1"/>
      <w:marLeft w:val="0"/>
      <w:marRight w:val="0"/>
      <w:marTop w:val="0"/>
      <w:marBottom w:val="0"/>
      <w:divBdr>
        <w:top w:val="none" w:sz="0" w:space="0" w:color="auto"/>
        <w:left w:val="none" w:sz="0" w:space="0" w:color="auto"/>
        <w:bottom w:val="none" w:sz="0" w:space="0" w:color="auto"/>
        <w:right w:val="none" w:sz="0" w:space="0" w:color="auto"/>
      </w:divBdr>
    </w:div>
    <w:div w:id="1507204611">
      <w:bodyDiv w:val="1"/>
      <w:marLeft w:val="0"/>
      <w:marRight w:val="0"/>
      <w:marTop w:val="0"/>
      <w:marBottom w:val="0"/>
      <w:divBdr>
        <w:top w:val="none" w:sz="0" w:space="0" w:color="auto"/>
        <w:left w:val="none" w:sz="0" w:space="0" w:color="auto"/>
        <w:bottom w:val="none" w:sz="0" w:space="0" w:color="auto"/>
        <w:right w:val="none" w:sz="0" w:space="0" w:color="auto"/>
      </w:divBdr>
    </w:div>
    <w:div w:id="1508517575">
      <w:bodyDiv w:val="1"/>
      <w:marLeft w:val="0"/>
      <w:marRight w:val="0"/>
      <w:marTop w:val="0"/>
      <w:marBottom w:val="0"/>
      <w:divBdr>
        <w:top w:val="none" w:sz="0" w:space="0" w:color="auto"/>
        <w:left w:val="none" w:sz="0" w:space="0" w:color="auto"/>
        <w:bottom w:val="none" w:sz="0" w:space="0" w:color="auto"/>
        <w:right w:val="none" w:sz="0" w:space="0" w:color="auto"/>
      </w:divBdr>
    </w:div>
    <w:div w:id="1508597415">
      <w:bodyDiv w:val="1"/>
      <w:marLeft w:val="0"/>
      <w:marRight w:val="0"/>
      <w:marTop w:val="0"/>
      <w:marBottom w:val="0"/>
      <w:divBdr>
        <w:top w:val="none" w:sz="0" w:space="0" w:color="auto"/>
        <w:left w:val="none" w:sz="0" w:space="0" w:color="auto"/>
        <w:bottom w:val="none" w:sz="0" w:space="0" w:color="auto"/>
        <w:right w:val="none" w:sz="0" w:space="0" w:color="auto"/>
      </w:divBdr>
    </w:div>
    <w:div w:id="1512837495">
      <w:bodyDiv w:val="1"/>
      <w:marLeft w:val="0"/>
      <w:marRight w:val="0"/>
      <w:marTop w:val="0"/>
      <w:marBottom w:val="0"/>
      <w:divBdr>
        <w:top w:val="none" w:sz="0" w:space="0" w:color="auto"/>
        <w:left w:val="none" w:sz="0" w:space="0" w:color="auto"/>
        <w:bottom w:val="none" w:sz="0" w:space="0" w:color="auto"/>
        <w:right w:val="none" w:sz="0" w:space="0" w:color="auto"/>
      </w:divBdr>
    </w:div>
    <w:div w:id="1514033993">
      <w:bodyDiv w:val="1"/>
      <w:marLeft w:val="0"/>
      <w:marRight w:val="0"/>
      <w:marTop w:val="0"/>
      <w:marBottom w:val="0"/>
      <w:divBdr>
        <w:top w:val="none" w:sz="0" w:space="0" w:color="auto"/>
        <w:left w:val="none" w:sz="0" w:space="0" w:color="auto"/>
        <w:bottom w:val="none" w:sz="0" w:space="0" w:color="auto"/>
        <w:right w:val="none" w:sz="0" w:space="0" w:color="auto"/>
      </w:divBdr>
    </w:div>
    <w:div w:id="1515070757">
      <w:bodyDiv w:val="1"/>
      <w:marLeft w:val="0"/>
      <w:marRight w:val="0"/>
      <w:marTop w:val="0"/>
      <w:marBottom w:val="0"/>
      <w:divBdr>
        <w:top w:val="none" w:sz="0" w:space="0" w:color="auto"/>
        <w:left w:val="none" w:sz="0" w:space="0" w:color="auto"/>
        <w:bottom w:val="none" w:sz="0" w:space="0" w:color="auto"/>
        <w:right w:val="none" w:sz="0" w:space="0" w:color="auto"/>
      </w:divBdr>
    </w:div>
    <w:div w:id="1516189650">
      <w:bodyDiv w:val="1"/>
      <w:marLeft w:val="0"/>
      <w:marRight w:val="0"/>
      <w:marTop w:val="0"/>
      <w:marBottom w:val="0"/>
      <w:divBdr>
        <w:top w:val="none" w:sz="0" w:space="0" w:color="auto"/>
        <w:left w:val="none" w:sz="0" w:space="0" w:color="auto"/>
        <w:bottom w:val="none" w:sz="0" w:space="0" w:color="auto"/>
        <w:right w:val="none" w:sz="0" w:space="0" w:color="auto"/>
      </w:divBdr>
    </w:div>
    <w:div w:id="1516769482">
      <w:bodyDiv w:val="1"/>
      <w:marLeft w:val="0"/>
      <w:marRight w:val="0"/>
      <w:marTop w:val="0"/>
      <w:marBottom w:val="0"/>
      <w:divBdr>
        <w:top w:val="none" w:sz="0" w:space="0" w:color="auto"/>
        <w:left w:val="none" w:sz="0" w:space="0" w:color="auto"/>
        <w:bottom w:val="none" w:sz="0" w:space="0" w:color="auto"/>
        <w:right w:val="none" w:sz="0" w:space="0" w:color="auto"/>
      </w:divBdr>
    </w:div>
    <w:div w:id="1516965361">
      <w:bodyDiv w:val="1"/>
      <w:marLeft w:val="0"/>
      <w:marRight w:val="0"/>
      <w:marTop w:val="0"/>
      <w:marBottom w:val="0"/>
      <w:divBdr>
        <w:top w:val="none" w:sz="0" w:space="0" w:color="auto"/>
        <w:left w:val="none" w:sz="0" w:space="0" w:color="auto"/>
        <w:bottom w:val="none" w:sz="0" w:space="0" w:color="auto"/>
        <w:right w:val="none" w:sz="0" w:space="0" w:color="auto"/>
      </w:divBdr>
    </w:div>
    <w:div w:id="1518544494">
      <w:bodyDiv w:val="1"/>
      <w:marLeft w:val="0"/>
      <w:marRight w:val="0"/>
      <w:marTop w:val="0"/>
      <w:marBottom w:val="0"/>
      <w:divBdr>
        <w:top w:val="none" w:sz="0" w:space="0" w:color="auto"/>
        <w:left w:val="none" w:sz="0" w:space="0" w:color="auto"/>
        <w:bottom w:val="none" w:sz="0" w:space="0" w:color="auto"/>
        <w:right w:val="none" w:sz="0" w:space="0" w:color="auto"/>
      </w:divBdr>
    </w:div>
    <w:div w:id="1518883144">
      <w:bodyDiv w:val="1"/>
      <w:marLeft w:val="0"/>
      <w:marRight w:val="0"/>
      <w:marTop w:val="0"/>
      <w:marBottom w:val="0"/>
      <w:divBdr>
        <w:top w:val="none" w:sz="0" w:space="0" w:color="auto"/>
        <w:left w:val="none" w:sz="0" w:space="0" w:color="auto"/>
        <w:bottom w:val="none" w:sz="0" w:space="0" w:color="auto"/>
        <w:right w:val="none" w:sz="0" w:space="0" w:color="auto"/>
      </w:divBdr>
    </w:div>
    <w:div w:id="1520267713">
      <w:bodyDiv w:val="1"/>
      <w:marLeft w:val="0"/>
      <w:marRight w:val="0"/>
      <w:marTop w:val="0"/>
      <w:marBottom w:val="0"/>
      <w:divBdr>
        <w:top w:val="none" w:sz="0" w:space="0" w:color="auto"/>
        <w:left w:val="none" w:sz="0" w:space="0" w:color="auto"/>
        <w:bottom w:val="none" w:sz="0" w:space="0" w:color="auto"/>
        <w:right w:val="none" w:sz="0" w:space="0" w:color="auto"/>
      </w:divBdr>
    </w:div>
    <w:div w:id="1520704993">
      <w:bodyDiv w:val="1"/>
      <w:marLeft w:val="0"/>
      <w:marRight w:val="0"/>
      <w:marTop w:val="0"/>
      <w:marBottom w:val="0"/>
      <w:divBdr>
        <w:top w:val="none" w:sz="0" w:space="0" w:color="auto"/>
        <w:left w:val="none" w:sz="0" w:space="0" w:color="auto"/>
        <w:bottom w:val="none" w:sz="0" w:space="0" w:color="auto"/>
        <w:right w:val="none" w:sz="0" w:space="0" w:color="auto"/>
      </w:divBdr>
    </w:div>
    <w:div w:id="1522468882">
      <w:bodyDiv w:val="1"/>
      <w:marLeft w:val="0"/>
      <w:marRight w:val="0"/>
      <w:marTop w:val="0"/>
      <w:marBottom w:val="0"/>
      <w:divBdr>
        <w:top w:val="none" w:sz="0" w:space="0" w:color="auto"/>
        <w:left w:val="none" w:sz="0" w:space="0" w:color="auto"/>
        <w:bottom w:val="none" w:sz="0" w:space="0" w:color="auto"/>
        <w:right w:val="none" w:sz="0" w:space="0" w:color="auto"/>
      </w:divBdr>
    </w:div>
    <w:div w:id="1522669386">
      <w:bodyDiv w:val="1"/>
      <w:marLeft w:val="0"/>
      <w:marRight w:val="0"/>
      <w:marTop w:val="0"/>
      <w:marBottom w:val="0"/>
      <w:divBdr>
        <w:top w:val="none" w:sz="0" w:space="0" w:color="auto"/>
        <w:left w:val="none" w:sz="0" w:space="0" w:color="auto"/>
        <w:bottom w:val="none" w:sz="0" w:space="0" w:color="auto"/>
        <w:right w:val="none" w:sz="0" w:space="0" w:color="auto"/>
      </w:divBdr>
    </w:div>
    <w:div w:id="1522813491">
      <w:bodyDiv w:val="1"/>
      <w:marLeft w:val="0"/>
      <w:marRight w:val="0"/>
      <w:marTop w:val="0"/>
      <w:marBottom w:val="0"/>
      <w:divBdr>
        <w:top w:val="none" w:sz="0" w:space="0" w:color="auto"/>
        <w:left w:val="none" w:sz="0" w:space="0" w:color="auto"/>
        <w:bottom w:val="none" w:sz="0" w:space="0" w:color="auto"/>
        <w:right w:val="none" w:sz="0" w:space="0" w:color="auto"/>
      </w:divBdr>
    </w:div>
    <w:div w:id="1523200143">
      <w:bodyDiv w:val="1"/>
      <w:marLeft w:val="0"/>
      <w:marRight w:val="0"/>
      <w:marTop w:val="0"/>
      <w:marBottom w:val="0"/>
      <w:divBdr>
        <w:top w:val="none" w:sz="0" w:space="0" w:color="auto"/>
        <w:left w:val="none" w:sz="0" w:space="0" w:color="auto"/>
        <w:bottom w:val="none" w:sz="0" w:space="0" w:color="auto"/>
        <w:right w:val="none" w:sz="0" w:space="0" w:color="auto"/>
      </w:divBdr>
    </w:div>
    <w:div w:id="1524974101">
      <w:bodyDiv w:val="1"/>
      <w:marLeft w:val="0"/>
      <w:marRight w:val="0"/>
      <w:marTop w:val="0"/>
      <w:marBottom w:val="0"/>
      <w:divBdr>
        <w:top w:val="none" w:sz="0" w:space="0" w:color="auto"/>
        <w:left w:val="none" w:sz="0" w:space="0" w:color="auto"/>
        <w:bottom w:val="none" w:sz="0" w:space="0" w:color="auto"/>
        <w:right w:val="none" w:sz="0" w:space="0" w:color="auto"/>
      </w:divBdr>
    </w:div>
    <w:div w:id="1525317147">
      <w:bodyDiv w:val="1"/>
      <w:marLeft w:val="0"/>
      <w:marRight w:val="0"/>
      <w:marTop w:val="0"/>
      <w:marBottom w:val="0"/>
      <w:divBdr>
        <w:top w:val="none" w:sz="0" w:space="0" w:color="auto"/>
        <w:left w:val="none" w:sz="0" w:space="0" w:color="auto"/>
        <w:bottom w:val="none" w:sz="0" w:space="0" w:color="auto"/>
        <w:right w:val="none" w:sz="0" w:space="0" w:color="auto"/>
      </w:divBdr>
    </w:div>
    <w:div w:id="1525826667">
      <w:bodyDiv w:val="1"/>
      <w:marLeft w:val="0"/>
      <w:marRight w:val="0"/>
      <w:marTop w:val="0"/>
      <w:marBottom w:val="0"/>
      <w:divBdr>
        <w:top w:val="none" w:sz="0" w:space="0" w:color="auto"/>
        <w:left w:val="none" w:sz="0" w:space="0" w:color="auto"/>
        <w:bottom w:val="none" w:sz="0" w:space="0" w:color="auto"/>
        <w:right w:val="none" w:sz="0" w:space="0" w:color="auto"/>
      </w:divBdr>
    </w:div>
    <w:div w:id="1528372687">
      <w:bodyDiv w:val="1"/>
      <w:marLeft w:val="0"/>
      <w:marRight w:val="0"/>
      <w:marTop w:val="0"/>
      <w:marBottom w:val="0"/>
      <w:divBdr>
        <w:top w:val="none" w:sz="0" w:space="0" w:color="auto"/>
        <w:left w:val="none" w:sz="0" w:space="0" w:color="auto"/>
        <w:bottom w:val="none" w:sz="0" w:space="0" w:color="auto"/>
        <w:right w:val="none" w:sz="0" w:space="0" w:color="auto"/>
      </w:divBdr>
    </w:div>
    <w:div w:id="1530027222">
      <w:bodyDiv w:val="1"/>
      <w:marLeft w:val="0"/>
      <w:marRight w:val="0"/>
      <w:marTop w:val="0"/>
      <w:marBottom w:val="0"/>
      <w:divBdr>
        <w:top w:val="none" w:sz="0" w:space="0" w:color="auto"/>
        <w:left w:val="none" w:sz="0" w:space="0" w:color="auto"/>
        <w:bottom w:val="none" w:sz="0" w:space="0" w:color="auto"/>
        <w:right w:val="none" w:sz="0" w:space="0" w:color="auto"/>
      </w:divBdr>
    </w:div>
    <w:div w:id="1531409049">
      <w:bodyDiv w:val="1"/>
      <w:marLeft w:val="0"/>
      <w:marRight w:val="0"/>
      <w:marTop w:val="0"/>
      <w:marBottom w:val="0"/>
      <w:divBdr>
        <w:top w:val="none" w:sz="0" w:space="0" w:color="auto"/>
        <w:left w:val="none" w:sz="0" w:space="0" w:color="auto"/>
        <w:bottom w:val="none" w:sz="0" w:space="0" w:color="auto"/>
        <w:right w:val="none" w:sz="0" w:space="0" w:color="auto"/>
      </w:divBdr>
    </w:div>
    <w:div w:id="1534422586">
      <w:bodyDiv w:val="1"/>
      <w:marLeft w:val="0"/>
      <w:marRight w:val="0"/>
      <w:marTop w:val="0"/>
      <w:marBottom w:val="0"/>
      <w:divBdr>
        <w:top w:val="none" w:sz="0" w:space="0" w:color="auto"/>
        <w:left w:val="none" w:sz="0" w:space="0" w:color="auto"/>
        <w:bottom w:val="none" w:sz="0" w:space="0" w:color="auto"/>
        <w:right w:val="none" w:sz="0" w:space="0" w:color="auto"/>
      </w:divBdr>
    </w:div>
    <w:div w:id="1536385553">
      <w:bodyDiv w:val="1"/>
      <w:marLeft w:val="0"/>
      <w:marRight w:val="0"/>
      <w:marTop w:val="0"/>
      <w:marBottom w:val="0"/>
      <w:divBdr>
        <w:top w:val="none" w:sz="0" w:space="0" w:color="auto"/>
        <w:left w:val="none" w:sz="0" w:space="0" w:color="auto"/>
        <w:bottom w:val="none" w:sz="0" w:space="0" w:color="auto"/>
        <w:right w:val="none" w:sz="0" w:space="0" w:color="auto"/>
      </w:divBdr>
    </w:div>
    <w:div w:id="1536966285">
      <w:bodyDiv w:val="1"/>
      <w:marLeft w:val="0"/>
      <w:marRight w:val="0"/>
      <w:marTop w:val="0"/>
      <w:marBottom w:val="0"/>
      <w:divBdr>
        <w:top w:val="none" w:sz="0" w:space="0" w:color="auto"/>
        <w:left w:val="none" w:sz="0" w:space="0" w:color="auto"/>
        <w:bottom w:val="none" w:sz="0" w:space="0" w:color="auto"/>
        <w:right w:val="none" w:sz="0" w:space="0" w:color="auto"/>
      </w:divBdr>
    </w:div>
    <w:div w:id="1537350002">
      <w:bodyDiv w:val="1"/>
      <w:marLeft w:val="0"/>
      <w:marRight w:val="0"/>
      <w:marTop w:val="0"/>
      <w:marBottom w:val="0"/>
      <w:divBdr>
        <w:top w:val="none" w:sz="0" w:space="0" w:color="auto"/>
        <w:left w:val="none" w:sz="0" w:space="0" w:color="auto"/>
        <w:bottom w:val="none" w:sz="0" w:space="0" w:color="auto"/>
        <w:right w:val="none" w:sz="0" w:space="0" w:color="auto"/>
      </w:divBdr>
    </w:div>
    <w:div w:id="1537962202">
      <w:bodyDiv w:val="1"/>
      <w:marLeft w:val="0"/>
      <w:marRight w:val="0"/>
      <w:marTop w:val="0"/>
      <w:marBottom w:val="0"/>
      <w:divBdr>
        <w:top w:val="none" w:sz="0" w:space="0" w:color="auto"/>
        <w:left w:val="none" w:sz="0" w:space="0" w:color="auto"/>
        <w:bottom w:val="none" w:sz="0" w:space="0" w:color="auto"/>
        <w:right w:val="none" w:sz="0" w:space="0" w:color="auto"/>
      </w:divBdr>
    </w:div>
    <w:div w:id="1538082424">
      <w:bodyDiv w:val="1"/>
      <w:marLeft w:val="0"/>
      <w:marRight w:val="0"/>
      <w:marTop w:val="0"/>
      <w:marBottom w:val="0"/>
      <w:divBdr>
        <w:top w:val="none" w:sz="0" w:space="0" w:color="auto"/>
        <w:left w:val="none" w:sz="0" w:space="0" w:color="auto"/>
        <w:bottom w:val="none" w:sz="0" w:space="0" w:color="auto"/>
        <w:right w:val="none" w:sz="0" w:space="0" w:color="auto"/>
      </w:divBdr>
    </w:div>
    <w:div w:id="1538084681">
      <w:bodyDiv w:val="1"/>
      <w:marLeft w:val="0"/>
      <w:marRight w:val="0"/>
      <w:marTop w:val="0"/>
      <w:marBottom w:val="0"/>
      <w:divBdr>
        <w:top w:val="none" w:sz="0" w:space="0" w:color="auto"/>
        <w:left w:val="none" w:sz="0" w:space="0" w:color="auto"/>
        <w:bottom w:val="none" w:sz="0" w:space="0" w:color="auto"/>
        <w:right w:val="none" w:sz="0" w:space="0" w:color="auto"/>
      </w:divBdr>
    </w:div>
    <w:div w:id="1538395882">
      <w:bodyDiv w:val="1"/>
      <w:marLeft w:val="0"/>
      <w:marRight w:val="0"/>
      <w:marTop w:val="0"/>
      <w:marBottom w:val="0"/>
      <w:divBdr>
        <w:top w:val="none" w:sz="0" w:space="0" w:color="auto"/>
        <w:left w:val="none" w:sz="0" w:space="0" w:color="auto"/>
        <w:bottom w:val="none" w:sz="0" w:space="0" w:color="auto"/>
        <w:right w:val="none" w:sz="0" w:space="0" w:color="auto"/>
      </w:divBdr>
    </w:div>
    <w:div w:id="1538858251">
      <w:bodyDiv w:val="1"/>
      <w:marLeft w:val="0"/>
      <w:marRight w:val="0"/>
      <w:marTop w:val="0"/>
      <w:marBottom w:val="0"/>
      <w:divBdr>
        <w:top w:val="none" w:sz="0" w:space="0" w:color="auto"/>
        <w:left w:val="none" w:sz="0" w:space="0" w:color="auto"/>
        <w:bottom w:val="none" w:sz="0" w:space="0" w:color="auto"/>
        <w:right w:val="none" w:sz="0" w:space="0" w:color="auto"/>
      </w:divBdr>
    </w:div>
    <w:div w:id="1541547934">
      <w:bodyDiv w:val="1"/>
      <w:marLeft w:val="0"/>
      <w:marRight w:val="0"/>
      <w:marTop w:val="0"/>
      <w:marBottom w:val="0"/>
      <w:divBdr>
        <w:top w:val="none" w:sz="0" w:space="0" w:color="auto"/>
        <w:left w:val="none" w:sz="0" w:space="0" w:color="auto"/>
        <w:bottom w:val="none" w:sz="0" w:space="0" w:color="auto"/>
        <w:right w:val="none" w:sz="0" w:space="0" w:color="auto"/>
      </w:divBdr>
    </w:div>
    <w:div w:id="1542598522">
      <w:bodyDiv w:val="1"/>
      <w:marLeft w:val="0"/>
      <w:marRight w:val="0"/>
      <w:marTop w:val="0"/>
      <w:marBottom w:val="0"/>
      <w:divBdr>
        <w:top w:val="none" w:sz="0" w:space="0" w:color="auto"/>
        <w:left w:val="none" w:sz="0" w:space="0" w:color="auto"/>
        <w:bottom w:val="none" w:sz="0" w:space="0" w:color="auto"/>
        <w:right w:val="none" w:sz="0" w:space="0" w:color="auto"/>
      </w:divBdr>
    </w:div>
    <w:div w:id="1543328962">
      <w:bodyDiv w:val="1"/>
      <w:marLeft w:val="0"/>
      <w:marRight w:val="0"/>
      <w:marTop w:val="0"/>
      <w:marBottom w:val="0"/>
      <w:divBdr>
        <w:top w:val="none" w:sz="0" w:space="0" w:color="auto"/>
        <w:left w:val="none" w:sz="0" w:space="0" w:color="auto"/>
        <w:bottom w:val="none" w:sz="0" w:space="0" w:color="auto"/>
        <w:right w:val="none" w:sz="0" w:space="0" w:color="auto"/>
      </w:divBdr>
    </w:div>
    <w:div w:id="1545631663">
      <w:bodyDiv w:val="1"/>
      <w:marLeft w:val="0"/>
      <w:marRight w:val="0"/>
      <w:marTop w:val="0"/>
      <w:marBottom w:val="0"/>
      <w:divBdr>
        <w:top w:val="none" w:sz="0" w:space="0" w:color="auto"/>
        <w:left w:val="none" w:sz="0" w:space="0" w:color="auto"/>
        <w:bottom w:val="none" w:sz="0" w:space="0" w:color="auto"/>
        <w:right w:val="none" w:sz="0" w:space="0" w:color="auto"/>
      </w:divBdr>
    </w:div>
    <w:div w:id="1546330912">
      <w:bodyDiv w:val="1"/>
      <w:marLeft w:val="0"/>
      <w:marRight w:val="0"/>
      <w:marTop w:val="0"/>
      <w:marBottom w:val="0"/>
      <w:divBdr>
        <w:top w:val="none" w:sz="0" w:space="0" w:color="auto"/>
        <w:left w:val="none" w:sz="0" w:space="0" w:color="auto"/>
        <w:bottom w:val="none" w:sz="0" w:space="0" w:color="auto"/>
        <w:right w:val="none" w:sz="0" w:space="0" w:color="auto"/>
      </w:divBdr>
    </w:div>
    <w:div w:id="1548641278">
      <w:bodyDiv w:val="1"/>
      <w:marLeft w:val="0"/>
      <w:marRight w:val="0"/>
      <w:marTop w:val="0"/>
      <w:marBottom w:val="0"/>
      <w:divBdr>
        <w:top w:val="none" w:sz="0" w:space="0" w:color="auto"/>
        <w:left w:val="none" w:sz="0" w:space="0" w:color="auto"/>
        <w:bottom w:val="none" w:sz="0" w:space="0" w:color="auto"/>
        <w:right w:val="none" w:sz="0" w:space="0" w:color="auto"/>
      </w:divBdr>
    </w:div>
    <w:div w:id="1549801394">
      <w:bodyDiv w:val="1"/>
      <w:marLeft w:val="0"/>
      <w:marRight w:val="0"/>
      <w:marTop w:val="0"/>
      <w:marBottom w:val="0"/>
      <w:divBdr>
        <w:top w:val="none" w:sz="0" w:space="0" w:color="auto"/>
        <w:left w:val="none" w:sz="0" w:space="0" w:color="auto"/>
        <w:bottom w:val="none" w:sz="0" w:space="0" w:color="auto"/>
        <w:right w:val="none" w:sz="0" w:space="0" w:color="auto"/>
      </w:divBdr>
    </w:div>
    <w:div w:id="1551916456">
      <w:bodyDiv w:val="1"/>
      <w:marLeft w:val="0"/>
      <w:marRight w:val="0"/>
      <w:marTop w:val="0"/>
      <w:marBottom w:val="0"/>
      <w:divBdr>
        <w:top w:val="none" w:sz="0" w:space="0" w:color="auto"/>
        <w:left w:val="none" w:sz="0" w:space="0" w:color="auto"/>
        <w:bottom w:val="none" w:sz="0" w:space="0" w:color="auto"/>
        <w:right w:val="none" w:sz="0" w:space="0" w:color="auto"/>
      </w:divBdr>
    </w:div>
    <w:div w:id="1554585663">
      <w:bodyDiv w:val="1"/>
      <w:marLeft w:val="0"/>
      <w:marRight w:val="0"/>
      <w:marTop w:val="0"/>
      <w:marBottom w:val="0"/>
      <w:divBdr>
        <w:top w:val="none" w:sz="0" w:space="0" w:color="auto"/>
        <w:left w:val="none" w:sz="0" w:space="0" w:color="auto"/>
        <w:bottom w:val="none" w:sz="0" w:space="0" w:color="auto"/>
        <w:right w:val="none" w:sz="0" w:space="0" w:color="auto"/>
      </w:divBdr>
    </w:div>
    <w:div w:id="1555852057">
      <w:bodyDiv w:val="1"/>
      <w:marLeft w:val="0"/>
      <w:marRight w:val="0"/>
      <w:marTop w:val="0"/>
      <w:marBottom w:val="0"/>
      <w:divBdr>
        <w:top w:val="none" w:sz="0" w:space="0" w:color="auto"/>
        <w:left w:val="none" w:sz="0" w:space="0" w:color="auto"/>
        <w:bottom w:val="none" w:sz="0" w:space="0" w:color="auto"/>
        <w:right w:val="none" w:sz="0" w:space="0" w:color="auto"/>
      </w:divBdr>
    </w:div>
    <w:div w:id="1557088284">
      <w:bodyDiv w:val="1"/>
      <w:marLeft w:val="0"/>
      <w:marRight w:val="0"/>
      <w:marTop w:val="0"/>
      <w:marBottom w:val="0"/>
      <w:divBdr>
        <w:top w:val="none" w:sz="0" w:space="0" w:color="auto"/>
        <w:left w:val="none" w:sz="0" w:space="0" w:color="auto"/>
        <w:bottom w:val="none" w:sz="0" w:space="0" w:color="auto"/>
        <w:right w:val="none" w:sz="0" w:space="0" w:color="auto"/>
      </w:divBdr>
    </w:div>
    <w:div w:id="1557815902">
      <w:bodyDiv w:val="1"/>
      <w:marLeft w:val="0"/>
      <w:marRight w:val="0"/>
      <w:marTop w:val="0"/>
      <w:marBottom w:val="0"/>
      <w:divBdr>
        <w:top w:val="none" w:sz="0" w:space="0" w:color="auto"/>
        <w:left w:val="none" w:sz="0" w:space="0" w:color="auto"/>
        <w:bottom w:val="none" w:sz="0" w:space="0" w:color="auto"/>
        <w:right w:val="none" w:sz="0" w:space="0" w:color="auto"/>
      </w:divBdr>
    </w:div>
    <w:div w:id="1558391506">
      <w:bodyDiv w:val="1"/>
      <w:marLeft w:val="0"/>
      <w:marRight w:val="0"/>
      <w:marTop w:val="0"/>
      <w:marBottom w:val="0"/>
      <w:divBdr>
        <w:top w:val="none" w:sz="0" w:space="0" w:color="auto"/>
        <w:left w:val="none" w:sz="0" w:space="0" w:color="auto"/>
        <w:bottom w:val="none" w:sz="0" w:space="0" w:color="auto"/>
        <w:right w:val="none" w:sz="0" w:space="0" w:color="auto"/>
      </w:divBdr>
    </w:div>
    <w:div w:id="1559322918">
      <w:bodyDiv w:val="1"/>
      <w:marLeft w:val="0"/>
      <w:marRight w:val="0"/>
      <w:marTop w:val="0"/>
      <w:marBottom w:val="0"/>
      <w:divBdr>
        <w:top w:val="none" w:sz="0" w:space="0" w:color="auto"/>
        <w:left w:val="none" w:sz="0" w:space="0" w:color="auto"/>
        <w:bottom w:val="none" w:sz="0" w:space="0" w:color="auto"/>
        <w:right w:val="none" w:sz="0" w:space="0" w:color="auto"/>
      </w:divBdr>
    </w:div>
    <w:div w:id="1559785455">
      <w:bodyDiv w:val="1"/>
      <w:marLeft w:val="0"/>
      <w:marRight w:val="0"/>
      <w:marTop w:val="0"/>
      <w:marBottom w:val="0"/>
      <w:divBdr>
        <w:top w:val="none" w:sz="0" w:space="0" w:color="auto"/>
        <w:left w:val="none" w:sz="0" w:space="0" w:color="auto"/>
        <w:bottom w:val="none" w:sz="0" w:space="0" w:color="auto"/>
        <w:right w:val="none" w:sz="0" w:space="0" w:color="auto"/>
      </w:divBdr>
    </w:div>
    <w:div w:id="1559902767">
      <w:bodyDiv w:val="1"/>
      <w:marLeft w:val="0"/>
      <w:marRight w:val="0"/>
      <w:marTop w:val="0"/>
      <w:marBottom w:val="0"/>
      <w:divBdr>
        <w:top w:val="none" w:sz="0" w:space="0" w:color="auto"/>
        <w:left w:val="none" w:sz="0" w:space="0" w:color="auto"/>
        <w:bottom w:val="none" w:sz="0" w:space="0" w:color="auto"/>
        <w:right w:val="none" w:sz="0" w:space="0" w:color="auto"/>
      </w:divBdr>
    </w:div>
    <w:div w:id="1561794654">
      <w:bodyDiv w:val="1"/>
      <w:marLeft w:val="0"/>
      <w:marRight w:val="0"/>
      <w:marTop w:val="0"/>
      <w:marBottom w:val="0"/>
      <w:divBdr>
        <w:top w:val="none" w:sz="0" w:space="0" w:color="auto"/>
        <w:left w:val="none" w:sz="0" w:space="0" w:color="auto"/>
        <w:bottom w:val="none" w:sz="0" w:space="0" w:color="auto"/>
        <w:right w:val="none" w:sz="0" w:space="0" w:color="auto"/>
      </w:divBdr>
    </w:div>
    <w:div w:id="1562443950">
      <w:bodyDiv w:val="1"/>
      <w:marLeft w:val="0"/>
      <w:marRight w:val="0"/>
      <w:marTop w:val="0"/>
      <w:marBottom w:val="0"/>
      <w:divBdr>
        <w:top w:val="none" w:sz="0" w:space="0" w:color="auto"/>
        <w:left w:val="none" w:sz="0" w:space="0" w:color="auto"/>
        <w:bottom w:val="none" w:sz="0" w:space="0" w:color="auto"/>
        <w:right w:val="none" w:sz="0" w:space="0" w:color="auto"/>
      </w:divBdr>
    </w:div>
    <w:div w:id="1562860375">
      <w:bodyDiv w:val="1"/>
      <w:marLeft w:val="0"/>
      <w:marRight w:val="0"/>
      <w:marTop w:val="0"/>
      <w:marBottom w:val="0"/>
      <w:divBdr>
        <w:top w:val="none" w:sz="0" w:space="0" w:color="auto"/>
        <w:left w:val="none" w:sz="0" w:space="0" w:color="auto"/>
        <w:bottom w:val="none" w:sz="0" w:space="0" w:color="auto"/>
        <w:right w:val="none" w:sz="0" w:space="0" w:color="auto"/>
      </w:divBdr>
    </w:div>
    <w:div w:id="1563366468">
      <w:bodyDiv w:val="1"/>
      <w:marLeft w:val="0"/>
      <w:marRight w:val="0"/>
      <w:marTop w:val="0"/>
      <w:marBottom w:val="0"/>
      <w:divBdr>
        <w:top w:val="none" w:sz="0" w:space="0" w:color="auto"/>
        <w:left w:val="none" w:sz="0" w:space="0" w:color="auto"/>
        <w:bottom w:val="none" w:sz="0" w:space="0" w:color="auto"/>
        <w:right w:val="none" w:sz="0" w:space="0" w:color="auto"/>
      </w:divBdr>
    </w:div>
    <w:div w:id="1568149489">
      <w:bodyDiv w:val="1"/>
      <w:marLeft w:val="0"/>
      <w:marRight w:val="0"/>
      <w:marTop w:val="0"/>
      <w:marBottom w:val="0"/>
      <w:divBdr>
        <w:top w:val="none" w:sz="0" w:space="0" w:color="auto"/>
        <w:left w:val="none" w:sz="0" w:space="0" w:color="auto"/>
        <w:bottom w:val="none" w:sz="0" w:space="0" w:color="auto"/>
        <w:right w:val="none" w:sz="0" w:space="0" w:color="auto"/>
      </w:divBdr>
    </w:div>
    <w:div w:id="1568606594">
      <w:bodyDiv w:val="1"/>
      <w:marLeft w:val="0"/>
      <w:marRight w:val="0"/>
      <w:marTop w:val="0"/>
      <w:marBottom w:val="0"/>
      <w:divBdr>
        <w:top w:val="none" w:sz="0" w:space="0" w:color="auto"/>
        <w:left w:val="none" w:sz="0" w:space="0" w:color="auto"/>
        <w:bottom w:val="none" w:sz="0" w:space="0" w:color="auto"/>
        <w:right w:val="none" w:sz="0" w:space="0" w:color="auto"/>
      </w:divBdr>
    </w:div>
    <w:div w:id="1571185387">
      <w:bodyDiv w:val="1"/>
      <w:marLeft w:val="0"/>
      <w:marRight w:val="0"/>
      <w:marTop w:val="0"/>
      <w:marBottom w:val="0"/>
      <w:divBdr>
        <w:top w:val="none" w:sz="0" w:space="0" w:color="auto"/>
        <w:left w:val="none" w:sz="0" w:space="0" w:color="auto"/>
        <w:bottom w:val="none" w:sz="0" w:space="0" w:color="auto"/>
        <w:right w:val="none" w:sz="0" w:space="0" w:color="auto"/>
      </w:divBdr>
    </w:div>
    <w:div w:id="1571965946">
      <w:bodyDiv w:val="1"/>
      <w:marLeft w:val="0"/>
      <w:marRight w:val="0"/>
      <w:marTop w:val="0"/>
      <w:marBottom w:val="0"/>
      <w:divBdr>
        <w:top w:val="none" w:sz="0" w:space="0" w:color="auto"/>
        <w:left w:val="none" w:sz="0" w:space="0" w:color="auto"/>
        <w:bottom w:val="none" w:sz="0" w:space="0" w:color="auto"/>
        <w:right w:val="none" w:sz="0" w:space="0" w:color="auto"/>
      </w:divBdr>
    </w:div>
    <w:div w:id="1573809568">
      <w:bodyDiv w:val="1"/>
      <w:marLeft w:val="0"/>
      <w:marRight w:val="0"/>
      <w:marTop w:val="0"/>
      <w:marBottom w:val="0"/>
      <w:divBdr>
        <w:top w:val="none" w:sz="0" w:space="0" w:color="auto"/>
        <w:left w:val="none" w:sz="0" w:space="0" w:color="auto"/>
        <w:bottom w:val="none" w:sz="0" w:space="0" w:color="auto"/>
        <w:right w:val="none" w:sz="0" w:space="0" w:color="auto"/>
      </w:divBdr>
      <w:divsChild>
        <w:div w:id="790704602">
          <w:marLeft w:val="480"/>
          <w:marRight w:val="0"/>
          <w:marTop w:val="0"/>
          <w:marBottom w:val="0"/>
          <w:divBdr>
            <w:top w:val="none" w:sz="0" w:space="0" w:color="auto"/>
            <w:left w:val="none" w:sz="0" w:space="0" w:color="auto"/>
            <w:bottom w:val="none" w:sz="0" w:space="0" w:color="auto"/>
            <w:right w:val="none" w:sz="0" w:space="0" w:color="auto"/>
          </w:divBdr>
        </w:div>
        <w:div w:id="498430702">
          <w:marLeft w:val="480"/>
          <w:marRight w:val="0"/>
          <w:marTop w:val="0"/>
          <w:marBottom w:val="0"/>
          <w:divBdr>
            <w:top w:val="none" w:sz="0" w:space="0" w:color="auto"/>
            <w:left w:val="none" w:sz="0" w:space="0" w:color="auto"/>
            <w:bottom w:val="none" w:sz="0" w:space="0" w:color="auto"/>
            <w:right w:val="none" w:sz="0" w:space="0" w:color="auto"/>
          </w:divBdr>
        </w:div>
        <w:div w:id="814638873">
          <w:marLeft w:val="480"/>
          <w:marRight w:val="0"/>
          <w:marTop w:val="0"/>
          <w:marBottom w:val="0"/>
          <w:divBdr>
            <w:top w:val="none" w:sz="0" w:space="0" w:color="auto"/>
            <w:left w:val="none" w:sz="0" w:space="0" w:color="auto"/>
            <w:bottom w:val="none" w:sz="0" w:space="0" w:color="auto"/>
            <w:right w:val="none" w:sz="0" w:space="0" w:color="auto"/>
          </w:divBdr>
        </w:div>
        <w:div w:id="1386221269">
          <w:marLeft w:val="480"/>
          <w:marRight w:val="0"/>
          <w:marTop w:val="0"/>
          <w:marBottom w:val="0"/>
          <w:divBdr>
            <w:top w:val="none" w:sz="0" w:space="0" w:color="auto"/>
            <w:left w:val="none" w:sz="0" w:space="0" w:color="auto"/>
            <w:bottom w:val="none" w:sz="0" w:space="0" w:color="auto"/>
            <w:right w:val="none" w:sz="0" w:space="0" w:color="auto"/>
          </w:divBdr>
        </w:div>
        <w:div w:id="159011205">
          <w:marLeft w:val="480"/>
          <w:marRight w:val="0"/>
          <w:marTop w:val="0"/>
          <w:marBottom w:val="0"/>
          <w:divBdr>
            <w:top w:val="none" w:sz="0" w:space="0" w:color="auto"/>
            <w:left w:val="none" w:sz="0" w:space="0" w:color="auto"/>
            <w:bottom w:val="none" w:sz="0" w:space="0" w:color="auto"/>
            <w:right w:val="none" w:sz="0" w:space="0" w:color="auto"/>
          </w:divBdr>
        </w:div>
        <w:div w:id="1770808160">
          <w:marLeft w:val="480"/>
          <w:marRight w:val="0"/>
          <w:marTop w:val="0"/>
          <w:marBottom w:val="0"/>
          <w:divBdr>
            <w:top w:val="none" w:sz="0" w:space="0" w:color="auto"/>
            <w:left w:val="none" w:sz="0" w:space="0" w:color="auto"/>
            <w:bottom w:val="none" w:sz="0" w:space="0" w:color="auto"/>
            <w:right w:val="none" w:sz="0" w:space="0" w:color="auto"/>
          </w:divBdr>
        </w:div>
        <w:div w:id="222176668">
          <w:marLeft w:val="480"/>
          <w:marRight w:val="0"/>
          <w:marTop w:val="0"/>
          <w:marBottom w:val="0"/>
          <w:divBdr>
            <w:top w:val="none" w:sz="0" w:space="0" w:color="auto"/>
            <w:left w:val="none" w:sz="0" w:space="0" w:color="auto"/>
            <w:bottom w:val="none" w:sz="0" w:space="0" w:color="auto"/>
            <w:right w:val="none" w:sz="0" w:space="0" w:color="auto"/>
          </w:divBdr>
        </w:div>
        <w:div w:id="1727799428">
          <w:marLeft w:val="480"/>
          <w:marRight w:val="0"/>
          <w:marTop w:val="0"/>
          <w:marBottom w:val="0"/>
          <w:divBdr>
            <w:top w:val="none" w:sz="0" w:space="0" w:color="auto"/>
            <w:left w:val="none" w:sz="0" w:space="0" w:color="auto"/>
            <w:bottom w:val="none" w:sz="0" w:space="0" w:color="auto"/>
            <w:right w:val="none" w:sz="0" w:space="0" w:color="auto"/>
          </w:divBdr>
        </w:div>
        <w:div w:id="1804732835">
          <w:marLeft w:val="480"/>
          <w:marRight w:val="0"/>
          <w:marTop w:val="0"/>
          <w:marBottom w:val="0"/>
          <w:divBdr>
            <w:top w:val="none" w:sz="0" w:space="0" w:color="auto"/>
            <w:left w:val="none" w:sz="0" w:space="0" w:color="auto"/>
            <w:bottom w:val="none" w:sz="0" w:space="0" w:color="auto"/>
            <w:right w:val="none" w:sz="0" w:space="0" w:color="auto"/>
          </w:divBdr>
        </w:div>
        <w:div w:id="742603227">
          <w:marLeft w:val="480"/>
          <w:marRight w:val="0"/>
          <w:marTop w:val="0"/>
          <w:marBottom w:val="0"/>
          <w:divBdr>
            <w:top w:val="none" w:sz="0" w:space="0" w:color="auto"/>
            <w:left w:val="none" w:sz="0" w:space="0" w:color="auto"/>
            <w:bottom w:val="none" w:sz="0" w:space="0" w:color="auto"/>
            <w:right w:val="none" w:sz="0" w:space="0" w:color="auto"/>
          </w:divBdr>
        </w:div>
        <w:div w:id="851258659">
          <w:marLeft w:val="480"/>
          <w:marRight w:val="0"/>
          <w:marTop w:val="0"/>
          <w:marBottom w:val="0"/>
          <w:divBdr>
            <w:top w:val="none" w:sz="0" w:space="0" w:color="auto"/>
            <w:left w:val="none" w:sz="0" w:space="0" w:color="auto"/>
            <w:bottom w:val="none" w:sz="0" w:space="0" w:color="auto"/>
            <w:right w:val="none" w:sz="0" w:space="0" w:color="auto"/>
          </w:divBdr>
        </w:div>
        <w:div w:id="793406871">
          <w:marLeft w:val="480"/>
          <w:marRight w:val="0"/>
          <w:marTop w:val="0"/>
          <w:marBottom w:val="0"/>
          <w:divBdr>
            <w:top w:val="none" w:sz="0" w:space="0" w:color="auto"/>
            <w:left w:val="none" w:sz="0" w:space="0" w:color="auto"/>
            <w:bottom w:val="none" w:sz="0" w:space="0" w:color="auto"/>
            <w:right w:val="none" w:sz="0" w:space="0" w:color="auto"/>
          </w:divBdr>
        </w:div>
        <w:div w:id="1694451321">
          <w:marLeft w:val="480"/>
          <w:marRight w:val="0"/>
          <w:marTop w:val="0"/>
          <w:marBottom w:val="0"/>
          <w:divBdr>
            <w:top w:val="none" w:sz="0" w:space="0" w:color="auto"/>
            <w:left w:val="none" w:sz="0" w:space="0" w:color="auto"/>
            <w:bottom w:val="none" w:sz="0" w:space="0" w:color="auto"/>
            <w:right w:val="none" w:sz="0" w:space="0" w:color="auto"/>
          </w:divBdr>
        </w:div>
        <w:div w:id="730157330">
          <w:marLeft w:val="480"/>
          <w:marRight w:val="0"/>
          <w:marTop w:val="0"/>
          <w:marBottom w:val="0"/>
          <w:divBdr>
            <w:top w:val="none" w:sz="0" w:space="0" w:color="auto"/>
            <w:left w:val="none" w:sz="0" w:space="0" w:color="auto"/>
            <w:bottom w:val="none" w:sz="0" w:space="0" w:color="auto"/>
            <w:right w:val="none" w:sz="0" w:space="0" w:color="auto"/>
          </w:divBdr>
        </w:div>
        <w:div w:id="1015886980">
          <w:marLeft w:val="480"/>
          <w:marRight w:val="0"/>
          <w:marTop w:val="0"/>
          <w:marBottom w:val="0"/>
          <w:divBdr>
            <w:top w:val="none" w:sz="0" w:space="0" w:color="auto"/>
            <w:left w:val="none" w:sz="0" w:space="0" w:color="auto"/>
            <w:bottom w:val="none" w:sz="0" w:space="0" w:color="auto"/>
            <w:right w:val="none" w:sz="0" w:space="0" w:color="auto"/>
          </w:divBdr>
        </w:div>
        <w:div w:id="1382821924">
          <w:marLeft w:val="480"/>
          <w:marRight w:val="0"/>
          <w:marTop w:val="0"/>
          <w:marBottom w:val="0"/>
          <w:divBdr>
            <w:top w:val="none" w:sz="0" w:space="0" w:color="auto"/>
            <w:left w:val="none" w:sz="0" w:space="0" w:color="auto"/>
            <w:bottom w:val="none" w:sz="0" w:space="0" w:color="auto"/>
            <w:right w:val="none" w:sz="0" w:space="0" w:color="auto"/>
          </w:divBdr>
        </w:div>
        <w:div w:id="1977907204">
          <w:marLeft w:val="480"/>
          <w:marRight w:val="0"/>
          <w:marTop w:val="0"/>
          <w:marBottom w:val="0"/>
          <w:divBdr>
            <w:top w:val="none" w:sz="0" w:space="0" w:color="auto"/>
            <w:left w:val="none" w:sz="0" w:space="0" w:color="auto"/>
            <w:bottom w:val="none" w:sz="0" w:space="0" w:color="auto"/>
            <w:right w:val="none" w:sz="0" w:space="0" w:color="auto"/>
          </w:divBdr>
        </w:div>
        <w:div w:id="1401975590">
          <w:marLeft w:val="480"/>
          <w:marRight w:val="0"/>
          <w:marTop w:val="0"/>
          <w:marBottom w:val="0"/>
          <w:divBdr>
            <w:top w:val="none" w:sz="0" w:space="0" w:color="auto"/>
            <w:left w:val="none" w:sz="0" w:space="0" w:color="auto"/>
            <w:bottom w:val="none" w:sz="0" w:space="0" w:color="auto"/>
            <w:right w:val="none" w:sz="0" w:space="0" w:color="auto"/>
          </w:divBdr>
        </w:div>
        <w:div w:id="780035297">
          <w:marLeft w:val="480"/>
          <w:marRight w:val="0"/>
          <w:marTop w:val="0"/>
          <w:marBottom w:val="0"/>
          <w:divBdr>
            <w:top w:val="none" w:sz="0" w:space="0" w:color="auto"/>
            <w:left w:val="none" w:sz="0" w:space="0" w:color="auto"/>
            <w:bottom w:val="none" w:sz="0" w:space="0" w:color="auto"/>
            <w:right w:val="none" w:sz="0" w:space="0" w:color="auto"/>
          </w:divBdr>
        </w:div>
        <w:div w:id="762607887">
          <w:marLeft w:val="480"/>
          <w:marRight w:val="0"/>
          <w:marTop w:val="0"/>
          <w:marBottom w:val="0"/>
          <w:divBdr>
            <w:top w:val="none" w:sz="0" w:space="0" w:color="auto"/>
            <w:left w:val="none" w:sz="0" w:space="0" w:color="auto"/>
            <w:bottom w:val="none" w:sz="0" w:space="0" w:color="auto"/>
            <w:right w:val="none" w:sz="0" w:space="0" w:color="auto"/>
          </w:divBdr>
        </w:div>
        <w:div w:id="1733430160">
          <w:marLeft w:val="480"/>
          <w:marRight w:val="0"/>
          <w:marTop w:val="0"/>
          <w:marBottom w:val="0"/>
          <w:divBdr>
            <w:top w:val="none" w:sz="0" w:space="0" w:color="auto"/>
            <w:left w:val="none" w:sz="0" w:space="0" w:color="auto"/>
            <w:bottom w:val="none" w:sz="0" w:space="0" w:color="auto"/>
            <w:right w:val="none" w:sz="0" w:space="0" w:color="auto"/>
          </w:divBdr>
        </w:div>
        <w:div w:id="572854429">
          <w:marLeft w:val="480"/>
          <w:marRight w:val="0"/>
          <w:marTop w:val="0"/>
          <w:marBottom w:val="0"/>
          <w:divBdr>
            <w:top w:val="none" w:sz="0" w:space="0" w:color="auto"/>
            <w:left w:val="none" w:sz="0" w:space="0" w:color="auto"/>
            <w:bottom w:val="none" w:sz="0" w:space="0" w:color="auto"/>
            <w:right w:val="none" w:sz="0" w:space="0" w:color="auto"/>
          </w:divBdr>
        </w:div>
        <w:div w:id="1544559048">
          <w:marLeft w:val="480"/>
          <w:marRight w:val="0"/>
          <w:marTop w:val="0"/>
          <w:marBottom w:val="0"/>
          <w:divBdr>
            <w:top w:val="none" w:sz="0" w:space="0" w:color="auto"/>
            <w:left w:val="none" w:sz="0" w:space="0" w:color="auto"/>
            <w:bottom w:val="none" w:sz="0" w:space="0" w:color="auto"/>
            <w:right w:val="none" w:sz="0" w:space="0" w:color="auto"/>
          </w:divBdr>
        </w:div>
        <w:div w:id="765688576">
          <w:marLeft w:val="480"/>
          <w:marRight w:val="0"/>
          <w:marTop w:val="0"/>
          <w:marBottom w:val="0"/>
          <w:divBdr>
            <w:top w:val="none" w:sz="0" w:space="0" w:color="auto"/>
            <w:left w:val="none" w:sz="0" w:space="0" w:color="auto"/>
            <w:bottom w:val="none" w:sz="0" w:space="0" w:color="auto"/>
            <w:right w:val="none" w:sz="0" w:space="0" w:color="auto"/>
          </w:divBdr>
        </w:div>
        <w:div w:id="1482965905">
          <w:marLeft w:val="480"/>
          <w:marRight w:val="0"/>
          <w:marTop w:val="0"/>
          <w:marBottom w:val="0"/>
          <w:divBdr>
            <w:top w:val="none" w:sz="0" w:space="0" w:color="auto"/>
            <w:left w:val="none" w:sz="0" w:space="0" w:color="auto"/>
            <w:bottom w:val="none" w:sz="0" w:space="0" w:color="auto"/>
            <w:right w:val="none" w:sz="0" w:space="0" w:color="auto"/>
          </w:divBdr>
        </w:div>
        <w:div w:id="757487509">
          <w:marLeft w:val="480"/>
          <w:marRight w:val="0"/>
          <w:marTop w:val="0"/>
          <w:marBottom w:val="0"/>
          <w:divBdr>
            <w:top w:val="none" w:sz="0" w:space="0" w:color="auto"/>
            <w:left w:val="none" w:sz="0" w:space="0" w:color="auto"/>
            <w:bottom w:val="none" w:sz="0" w:space="0" w:color="auto"/>
            <w:right w:val="none" w:sz="0" w:space="0" w:color="auto"/>
          </w:divBdr>
        </w:div>
        <w:div w:id="552498581">
          <w:marLeft w:val="480"/>
          <w:marRight w:val="0"/>
          <w:marTop w:val="0"/>
          <w:marBottom w:val="0"/>
          <w:divBdr>
            <w:top w:val="none" w:sz="0" w:space="0" w:color="auto"/>
            <w:left w:val="none" w:sz="0" w:space="0" w:color="auto"/>
            <w:bottom w:val="none" w:sz="0" w:space="0" w:color="auto"/>
            <w:right w:val="none" w:sz="0" w:space="0" w:color="auto"/>
          </w:divBdr>
        </w:div>
        <w:div w:id="1925872232">
          <w:marLeft w:val="480"/>
          <w:marRight w:val="0"/>
          <w:marTop w:val="0"/>
          <w:marBottom w:val="0"/>
          <w:divBdr>
            <w:top w:val="none" w:sz="0" w:space="0" w:color="auto"/>
            <w:left w:val="none" w:sz="0" w:space="0" w:color="auto"/>
            <w:bottom w:val="none" w:sz="0" w:space="0" w:color="auto"/>
            <w:right w:val="none" w:sz="0" w:space="0" w:color="auto"/>
          </w:divBdr>
        </w:div>
        <w:div w:id="443424805">
          <w:marLeft w:val="480"/>
          <w:marRight w:val="0"/>
          <w:marTop w:val="0"/>
          <w:marBottom w:val="0"/>
          <w:divBdr>
            <w:top w:val="none" w:sz="0" w:space="0" w:color="auto"/>
            <w:left w:val="none" w:sz="0" w:space="0" w:color="auto"/>
            <w:bottom w:val="none" w:sz="0" w:space="0" w:color="auto"/>
            <w:right w:val="none" w:sz="0" w:space="0" w:color="auto"/>
          </w:divBdr>
        </w:div>
        <w:div w:id="754546558">
          <w:marLeft w:val="480"/>
          <w:marRight w:val="0"/>
          <w:marTop w:val="0"/>
          <w:marBottom w:val="0"/>
          <w:divBdr>
            <w:top w:val="none" w:sz="0" w:space="0" w:color="auto"/>
            <w:left w:val="none" w:sz="0" w:space="0" w:color="auto"/>
            <w:bottom w:val="none" w:sz="0" w:space="0" w:color="auto"/>
            <w:right w:val="none" w:sz="0" w:space="0" w:color="auto"/>
          </w:divBdr>
        </w:div>
        <w:div w:id="1223635799">
          <w:marLeft w:val="480"/>
          <w:marRight w:val="0"/>
          <w:marTop w:val="0"/>
          <w:marBottom w:val="0"/>
          <w:divBdr>
            <w:top w:val="none" w:sz="0" w:space="0" w:color="auto"/>
            <w:left w:val="none" w:sz="0" w:space="0" w:color="auto"/>
            <w:bottom w:val="none" w:sz="0" w:space="0" w:color="auto"/>
            <w:right w:val="none" w:sz="0" w:space="0" w:color="auto"/>
          </w:divBdr>
        </w:div>
        <w:div w:id="547570623">
          <w:marLeft w:val="480"/>
          <w:marRight w:val="0"/>
          <w:marTop w:val="0"/>
          <w:marBottom w:val="0"/>
          <w:divBdr>
            <w:top w:val="none" w:sz="0" w:space="0" w:color="auto"/>
            <w:left w:val="none" w:sz="0" w:space="0" w:color="auto"/>
            <w:bottom w:val="none" w:sz="0" w:space="0" w:color="auto"/>
            <w:right w:val="none" w:sz="0" w:space="0" w:color="auto"/>
          </w:divBdr>
        </w:div>
        <w:div w:id="2140295311">
          <w:marLeft w:val="480"/>
          <w:marRight w:val="0"/>
          <w:marTop w:val="0"/>
          <w:marBottom w:val="0"/>
          <w:divBdr>
            <w:top w:val="none" w:sz="0" w:space="0" w:color="auto"/>
            <w:left w:val="none" w:sz="0" w:space="0" w:color="auto"/>
            <w:bottom w:val="none" w:sz="0" w:space="0" w:color="auto"/>
            <w:right w:val="none" w:sz="0" w:space="0" w:color="auto"/>
          </w:divBdr>
        </w:div>
        <w:div w:id="396783623">
          <w:marLeft w:val="480"/>
          <w:marRight w:val="0"/>
          <w:marTop w:val="0"/>
          <w:marBottom w:val="0"/>
          <w:divBdr>
            <w:top w:val="none" w:sz="0" w:space="0" w:color="auto"/>
            <w:left w:val="none" w:sz="0" w:space="0" w:color="auto"/>
            <w:bottom w:val="none" w:sz="0" w:space="0" w:color="auto"/>
            <w:right w:val="none" w:sz="0" w:space="0" w:color="auto"/>
          </w:divBdr>
        </w:div>
        <w:div w:id="1567493977">
          <w:marLeft w:val="480"/>
          <w:marRight w:val="0"/>
          <w:marTop w:val="0"/>
          <w:marBottom w:val="0"/>
          <w:divBdr>
            <w:top w:val="none" w:sz="0" w:space="0" w:color="auto"/>
            <w:left w:val="none" w:sz="0" w:space="0" w:color="auto"/>
            <w:bottom w:val="none" w:sz="0" w:space="0" w:color="auto"/>
            <w:right w:val="none" w:sz="0" w:space="0" w:color="auto"/>
          </w:divBdr>
        </w:div>
        <w:div w:id="1746149153">
          <w:marLeft w:val="480"/>
          <w:marRight w:val="0"/>
          <w:marTop w:val="0"/>
          <w:marBottom w:val="0"/>
          <w:divBdr>
            <w:top w:val="none" w:sz="0" w:space="0" w:color="auto"/>
            <w:left w:val="none" w:sz="0" w:space="0" w:color="auto"/>
            <w:bottom w:val="none" w:sz="0" w:space="0" w:color="auto"/>
            <w:right w:val="none" w:sz="0" w:space="0" w:color="auto"/>
          </w:divBdr>
        </w:div>
        <w:div w:id="995494409">
          <w:marLeft w:val="480"/>
          <w:marRight w:val="0"/>
          <w:marTop w:val="0"/>
          <w:marBottom w:val="0"/>
          <w:divBdr>
            <w:top w:val="none" w:sz="0" w:space="0" w:color="auto"/>
            <w:left w:val="none" w:sz="0" w:space="0" w:color="auto"/>
            <w:bottom w:val="none" w:sz="0" w:space="0" w:color="auto"/>
            <w:right w:val="none" w:sz="0" w:space="0" w:color="auto"/>
          </w:divBdr>
        </w:div>
        <w:div w:id="2019887354">
          <w:marLeft w:val="480"/>
          <w:marRight w:val="0"/>
          <w:marTop w:val="0"/>
          <w:marBottom w:val="0"/>
          <w:divBdr>
            <w:top w:val="none" w:sz="0" w:space="0" w:color="auto"/>
            <w:left w:val="none" w:sz="0" w:space="0" w:color="auto"/>
            <w:bottom w:val="none" w:sz="0" w:space="0" w:color="auto"/>
            <w:right w:val="none" w:sz="0" w:space="0" w:color="auto"/>
          </w:divBdr>
        </w:div>
        <w:div w:id="2065789393">
          <w:marLeft w:val="480"/>
          <w:marRight w:val="0"/>
          <w:marTop w:val="0"/>
          <w:marBottom w:val="0"/>
          <w:divBdr>
            <w:top w:val="none" w:sz="0" w:space="0" w:color="auto"/>
            <w:left w:val="none" w:sz="0" w:space="0" w:color="auto"/>
            <w:bottom w:val="none" w:sz="0" w:space="0" w:color="auto"/>
            <w:right w:val="none" w:sz="0" w:space="0" w:color="auto"/>
          </w:divBdr>
        </w:div>
        <w:div w:id="1996757369">
          <w:marLeft w:val="480"/>
          <w:marRight w:val="0"/>
          <w:marTop w:val="0"/>
          <w:marBottom w:val="0"/>
          <w:divBdr>
            <w:top w:val="none" w:sz="0" w:space="0" w:color="auto"/>
            <w:left w:val="none" w:sz="0" w:space="0" w:color="auto"/>
            <w:bottom w:val="none" w:sz="0" w:space="0" w:color="auto"/>
            <w:right w:val="none" w:sz="0" w:space="0" w:color="auto"/>
          </w:divBdr>
        </w:div>
        <w:div w:id="1394769808">
          <w:marLeft w:val="480"/>
          <w:marRight w:val="0"/>
          <w:marTop w:val="0"/>
          <w:marBottom w:val="0"/>
          <w:divBdr>
            <w:top w:val="none" w:sz="0" w:space="0" w:color="auto"/>
            <w:left w:val="none" w:sz="0" w:space="0" w:color="auto"/>
            <w:bottom w:val="none" w:sz="0" w:space="0" w:color="auto"/>
            <w:right w:val="none" w:sz="0" w:space="0" w:color="auto"/>
          </w:divBdr>
        </w:div>
        <w:div w:id="1931544730">
          <w:marLeft w:val="480"/>
          <w:marRight w:val="0"/>
          <w:marTop w:val="0"/>
          <w:marBottom w:val="0"/>
          <w:divBdr>
            <w:top w:val="none" w:sz="0" w:space="0" w:color="auto"/>
            <w:left w:val="none" w:sz="0" w:space="0" w:color="auto"/>
            <w:bottom w:val="none" w:sz="0" w:space="0" w:color="auto"/>
            <w:right w:val="none" w:sz="0" w:space="0" w:color="auto"/>
          </w:divBdr>
        </w:div>
        <w:div w:id="2114737020">
          <w:marLeft w:val="480"/>
          <w:marRight w:val="0"/>
          <w:marTop w:val="0"/>
          <w:marBottom w:val="0"/>
          <w:divBdr>
            <w:top w:val="none" w:sz="0" w:space="0" w:color="auto"/>
            <w:left w:val="none" w:sz="0" w:space="0" w:color="auto"/>
            <w:bottom w:val="none" w:sz="0" w:space="0" w:color="auto"/>
            <w:right w:val="none" w:sz="0" w:space="0" w:color="auto"/>
          </w:divBdr>
        </w:div>
        <w:div w:id="1835685901">
          <w:marLeft w:val="480"/>
          <w:marRight w:val="0"/>
          <w:marTop w:val="0"/>
          <w:marBottom w:val="0"/>
          <w:divBdr>
            <w:top w:val="none" w:sz="0" w:space="0" w:color="auto"/>
            <w:left w:val="none" w:sz="0" w:space="0" w:color="auto"/>
            <w:bottom w:val="none" w:sz="0" w:space="0" w:color="auto"/>
            <w:right w:val="none" w:sz="0" w:space="0" w:color="auto"/>
          </w:divBdr>
        </w:div>
        <w:div w:id="454061150">
          <w:marLeft w:val="480"/>
          <w:marRight w:val="0"/>
          <w:marTop w:val="0"/>
          <w:marBottom w:val="0"/>
          <w:divBdr>
            <w:top w:val="none" w:sz="0" w:space="0" w:color="auto"/>
            <w:left w:val="none" w:sz="0" w:space="0" w:color="auto"/>
            <w:bottom w:val="none" w:sz="0" w:space="0" w:color="auto"/>
            <w:right w:val="none" w:sz="0" w:space="0" w:color="auto"/>
          </w:divBdr>
        </w:div>
        <w:div w:id="106702425">
          <w:marLeft w:val="480"/>
          <w:marRight w:val="0"/>
          <w:marTop w:val="0"/>
          <w:marBottom w:val="0"/>
          <w:divBdr>
            <w:top w:val="none" w:sz="0" w:space="0" w:color="auto"/>
            <w:left w:val="none" w:sz="0" w:space="0" w:color="auto"/>
            <w:bottom w:val="none" w:sz="0" w:space="0" w:color="auto"/>
            <w:right w:val="none" w:sz="0" w:space="0" w:color="auto"/>
          </w:divBdr>
        </w:div>
        <w:div w:id="634220703">
          <w:marLeft w:val="480"/>
          <w:marRight w:val="0"/>
          <w:marTop w:val="0"/>
          <w:marBottom w:val="0"/>
          <w:divBdr>
            <w:top w:val="none" w:sz="0" w:space="0" w:color="auto"/>
            <w:left w:val="none" w:sz="0" w:space="0" w:color="auto"/>
            <w:bottom w:val="none" w:sz="0" w:space="0" w:color="auto"/>
            <w:right w:val="none" w:sz="0" w:space="0" w:color="auto"/>
          </w:divBdr>
        </w:div>
        <w:div w:id="547302493">
          <w:marLeft w:val="480"/>
          <w:marRight w:val="0"/>
          <w:marTop w:val="0"/>
          <w:marBottom w:val="0"/>
          <w:divBdr>
            <w:top w:val="none" w:sz="0" w:space="0" w:color="auto"/>
            <w:left w:val="none" w:sz="0" w:space="0" w:color="auto"/>
            <w:bottom w:val="none" w:sz="0" w:space="0" w:color="auto"/>
            <w:right w:val="none" w:sz="0" w:space="0" w:color="auto"/>
          </w:divBdr>
        </w:div>
        <w:div w:id="2116093651">
          <w:marLeft w:val="480"/>
          <w:marRight w:val="0"/>
          <w:marTop w:val="0"/>
          <w:marBottom w:val="0"/>
          <w:divBdr>
            <w:top w:val="none" w:sz="0" w:space="0" w:color="auto"/>
            <w:left w:val="none" w:sz="0" w:space="0" w:color="auto"/>
            <w:bottom w:val="none" w:sz="0" w:space="0" w:color="auto"/>
            <w:right w:val="none" w:sz="0" w:space="0" w:color="auto"/>
          </w:divBdr>
        </w:div>
        <w:div w:id="1515607175">
          <w:marLeft w:val="480"/>
          <w:marRight w:val="0"/>
          <w:marTop w:val="0"/>
          <w:marBottom w:val="0"/>
          <w:divBdr>
            <w:top w:val="none" w:sz="0" w:space="0" w:color="auto"/>
            <w:left w:val="none" w:sz="0" w:space="0" w:color="auto"/>
            <w:bottom w:val="none" w:sz="0" w:space="0" w:color="auto"/>
            <w:right w:val="none" w:sz="0" w:space="0" w:color="auto"/>
          </w:divBdr>
        </w:div>
        <w:div w:id="1568495896">
          <w:marLeft w:val="480"/>
          <w:marRight w:val="0"/>
          <w:marTop w:val="0"/>
          <w:marBottom w:val="0"/>
          <w:divBdr>
            <w:top w:val="none" w:sz="0" w:space="0" w:color="auto"/>
            <w:left w:val="none" w:sz="0" w:space="0" w:color="auto"/>
            <w:bottom w:val="none" w:sz="0" w:space="0" w:color="auto"/>
            <w:right w:val="none" w:sz="0" w:space="0" w:color="auto"/>
          </w:divBdr>
        </w:div>
        <w:div w:id="552540158">
          <w:marLeft w:val="480"/>
          <w:marRight w:val="0"/>
          <w:marTop w:val="0"/>
          <w:marBottom w:val="0"/>
          <w:divBdr>
            <w:top w:val="none" w:sz="0" w:space="0" w:color="auto"/>
            <w:left w:val="none" w:sz="0" w:space="0" w:color="auto"/>
            <w:bottom w:val="none" w:sz="0" w:space="0" w:color="auto"/>
            <w:right w:val="none" w:sz="0" w:space="0" w:color="auto"/>
          </w:divBdr>
        </w:div>
        <w:div w:id="1809936563">
          <w:marLeft w:val="480"/>
          <w:marRight w:val="0"/>
          <w:marTop w:val="0"/>
          <w:marBottom w:val="0"/>
          <w:divBdr>
            <w:top w:val="none" w:sz="0" w:space="0" w:color="auto"/>
            <w:left w:val="none" w:sz="0" w:space="0" w:color="auto"/>
            <w:bottom w:val="none" w:sz="0" w:space="0" w:color="auto"/>
            <w:right w:val="none" w:sz="0" w:space="0" w:color="auto"/>
          </w:divBdr>
        </w:div>
        <w:div w:id="1000618636">
          <w:marLeft w:val="480"/>
          <w:marRight w:val="0"/>
          <w:marTop w:val="0"/>
          <w:marBottom w:val="0"/>
          <w:divBdr>
            <w:top w:val="none" w:sz="0" w:space="0" w:color="auto"/>
            <w:left w:val="none" w:sz="0" w:space="0" w:color="auto"/>
            <w:bottom w:val="none" w:sz="0" w:space="0" w:color="auto"/>
            <w:right w:val="none" w:sz="0" w:space="0" w:color="auto"/>
          </w:divBdr>
        </w:div>
        <w:div w:id="334654230">
          <w:marLeft w:val="480"/>
          <w:marRight w:val="0"/>
          <w:marTop w:val="0"/>
          <w:marBottom w:val="0"/>
          <w:divBdr>
            <w:top w:val="none" w:sz="0" w:space="0" w:color="auto"/>
            <w:left w:val="none" w:sz="0" w:space="0" w:color="auto"/>
            <w:bottom w:val="none" w:sz="0" w:space="0" w:color="auto"/>
            <w:right w:val="none" w:sz="0" w:space="0" w:color="auto"/>
          </w:divBdr>
        </w:div>
        <w:div w:id="1258635375">
          <w:marLeft w:val="480"/>
          <w:marRight w:val="0"/>
          <w:marTop w:val="0"/>
          <w:marBottom w:val="0"/>
          <w:divBdr>
            <w:top w:val="none" w:sz="0" w:space="0" w:color="auto"/>
            <w:left w:val="none" w:sz="0" w:space="0" w:color="auto"/>
            <w:bottom w:val="none" w:sz="0" w:space="0" w:color="auto"/>
            <w:right w:val="none" w:sz="0" w:space="0" w:color="auto"/>
          </w:divBdr>
        </w:div>
        <w:div w:id="171340473">
          <w:marLeft w:val="480"/>
          <w:marRight w:val="0"/>
          <w:marTop w:val="0"/>
          <w:marBottom w:val="0"/>
          <w:divBdr>
            <w:top w:val="none" w:sz="0" w:space="0" w:color="auto"/>
            <w:left w:val="none" w:sz="0" w:space="0" w:color="auto"/>
            <w:bottom w:val="none" w:sz="0" w:space="0" w:color="auto"/>
            <w:right w:val="none" w:sz="0" w:space="0" w:color="auto"/>
          </w:divBdr>
        </w:div>
        <w:div w:id="1536842285">
          <w:marLeft w:val="480"/>
          <w:marRight w:val="0"/>
          <w:marTop w:val="0"/>
          <w:marBottom w:val="0"/>
          <w:divBdr>
            <w:top w:val="none" w:sz="0" w:space="0" w:color="auto"/>
            <w:left w:val="none" w:sz="0" w:space="0" w:color="auto"/>
            <w:bottom w:val="none" w:sz="0" w:space="0" w:color="auto"/>
            <w:right w:val="none" w:sz="0" w:space="0" w:color="auto"/>
          </w:divBdr>
        </w:div>
        <w:div w:id="540821015">
          <w:marLeft w:val="480"/>
          <w:marRight w:val="0"/>
          <w:marTop w:val="0"/>
          <w:marBottom w:val="0"/>
          <w:divBdr>
            <w:top w:val="none" w:sz="0" w:space="0" w:color="auto"/>
            <w:left w:val="none" w:sz="0" w:space="0" w:color="auto"/>
            <w:bottom w:val="none" w:sz="0" w:space="0" w:color="auto"/>
            <w:right w:val="none" w:sz="0" w:space="0" w:color="auto"/>
          </w:divBdr>
        </w:div>
        <w:div w:id="40717837">
          <w:marLeft w:val="480"/>
          <w:marRight w:val="0"/>
          <w:marTop w:val="0"/>
          <w:marBottom w:val="0"/>
          <w:divBdr>
            <w:top w:val="none" w:sz="0" w:space="0" w:color="auto"/>
            <w:left w:val="none" w:sz="0" w:space="0" w:color="auto"/>
            <w:bottom w:val="none" w:sz="0" w:space="0" w:color="auto"/>
            <w:right w:val="none" w:sz="0" w:space="0" w:color="auto"/>
          </w:divBdr>
        </w:div>
        <w:div w:id="1533297882">
          <w:marLeft w:val="480"/>
          <w:marRight w:val="0"/>
          <w:marTop w:val="0"/>
          <w:marBottom w:val="0"/>
          <w:divBdr>
            <w:top w:val="none" w:sz="0" w:space="0" w:color="auto"/>
            <w:left w:val="none" w:sz="0" w:space="0" w:color="auto"/>
            <w:bottom w:val="none" w:sz="0" w:space="0" w:color="auto"/>
            <w:right w:val="none" w:sz="0" w:space="0" w:color="auto"/>
          </w:divBdr>
        </w:div>
        <w:div w:id="188371997">
          <w:marLeft w:val="480"/>
          <w:marRight w:val="0"/>
          <w:marTop w:val="0"/>
          <w:marBottom w:val="0"/>
          <w:divBdr>
            <w:top w:val="none" w:sz="0" w:space="0" w:color="auto"/>
            <w:left w:val="none" w:sz="0" w:space="0" w:color="auto"/>
            <w:bottom w:val="none" w:sz="0" w:space="0" w:color="auto"/>
            <w:right w:val="none" w:sz="0" w:space="0" w:color="auto"/>
          </w:divBdr>
        </w:div>
        <w:div w:id="56171089">
          <w:marLeft w:val="480"/>
          <w:marRight w:val="0"/>
          <w:marTop w:val="0"/>
          <w:marBottom w:val="0"/>
          <w:divBdr>
            <w:top w:val="none" w:sz="0" w:space="0" w:color="auto"/>
            <w:left w:val="none" w:sz="0" w:space="0" w:color="auto"/>
            <w:bottom w:val="none" w:sz="0" w:space="0" w:color="auto"/>
            <w:right w:val="none" w:sz="0" w:space="0" w:color="auto"/>
          </w:divBdr>
        </w:div>
        <w:div w:id="545679639">
          <w:marLeft w:val="480"/>
          <w:marRight w:val="0"/>
          <w:marTop w:val="0"/>
          <w:marBottom w:val="0"/>
          <w:divBdr>
            <w:top w:val="none" w:sz="0" w:space="0" w:color="auto"/>
            <w:left w:val="none" w:sz="0" w:space="0" w:color="auto"/>
            <w:bottom w:val="none" w:sz="0" w:space="0" w:color="auto"/>
            <w:right w:val="none" w:sz="0" w:space="0" w:color="auto"/>
          </w:divBdr>
        </w:div>
        <w:div w:id="805004678">
          <w:marLeft w:val="480"/>
          <w:marRight w:val="0"/>
          <w:marTop w:val="0"/>
          <w:marBottom w:val="0"/>
          <w:divBdr>
            <w:top w:val="none" w:sz="0" w:space="0" w:color="auto"/>
            <w:left w:val="none" w:sz="0" w:space="0" w:color="auto"/>
            <w:bottom w:val="none" w:sz="0" w:space="0" w:color="auto"/>
            <w:right w:val="none" w:sz="0" w:space="0" w:color="auto"/>
          </w:divBdr>
        </w:div>
        <w:div w:id="1959487892">
          <w:marLeft w:val="480"/>
          <w:marRight w:val="0"/>
          <w:marTop w:val="0"/>
          <w:marBottom w:val="0"/>
          <w:divBdr>
            <w:top w:val="none" w:sz="0" w:space="0" w:color="auto"/>
            <w:left w:val="none" w:sz="0" w:space="0" w:color="auto"/>
            <w:bottom w:val="none" w:sz="0" w:space="0" w:color="auto"/>
            <w:right w:val="none" w:sz="0" w:space="0" w:color="auto"/>
          </w:divBdr>
        </w:div>
        <w:div w:id="1891526395">
          <w:marLeft w:val="480"/>
          <w:marRight w:val="0"/>
          <w:marTop w:val="0"/>
          <w:marBottom w:val="0"/>
          <w:divBdr>
            <w:top w:val="none" w:sz="0" w:space="0" w:color="auto"/>
            <w:left w:val="none" w:sz="0" w:space="0" w:color="auto"/>
            <w:bottom w:val="none" w:sz="0" w:space="0" w:color="auto"/>
            <w:right w:val="none" w:sz="0" w:space="0" w:color="auto"/>
          </w:divBdr>
        </w:div>
        <w:div w:id="1675062566">
          <w:marLeft w:val="480"/>
          <w:marRight w:val="0"/>
          <w:marTop w:val="0"/>
          <w:marBottom w:val="0"/>
          <w:divBdr>
            <w:top w:val="none" w:sz="0" w:space="0" w:color="auto"/>
            <w:left w:val="none" w:sz="0" w:space="0" w:color="auto"/>
            <w:bottom w:val="none" w:sz="0" w:space="0" w:color="auto"/>
            <w:right w:val="none" w:sz="0" w:space="0" w:color="auto"/>
          </w:divBdr>
        </w:div>
        <w:div w:id="24718928">
          <w:marLeft w:val="480"/>
          <w:marRight w:val="0"/>
          <w:marTop w:val="0"/>
          <w:marBottom w:val="0"/>
          <w:divBdr>
            <w:top w:val="none" w:sz="0" w:space="0" w:color="auto"/>
            <w:left w:val="none" w:sz="0" w:space="0" w:color="auto"/>
            <w:bottom w:val="none" w:sz="0" w:space="0" w:color="auto"/>
            <w:right w:val="none" w:sz="0" w:space="0" w:color="auto"/>
          </w:divBdr>
        </w:div>
        <w:div w:id="1093472785">
          <w:marLeft w:val="480"/>
          <w:marRight w:val="0"/>
          <w:marTop w:val="0"/>
          <w:marBottom w:val="0"/>
          <w:divBdr>
            <w:top w:val="none" w:sz="0" w:space="0" w:color="auto"/>
            <w:left w:val="none" w:sz="0" w:space="0" w:color="auto"/>
            <w:bottom w:val="none" w:sz="0" w:space="0" w:color="auto"/>
            <w:right w:val="none" w:sz="0" w:space="0" w:color="auto"/>
          </w:divBdr>
        </w:div>
        <w:div w:id="687145780">
          <w:marLeft w:val="480"/>
          <w:marRight w:val="0"/>
          <w:marTop w:val="0"/>
          <w:marBottom w:val="0"/>
          <w:divBdr>
            <w:top w:val="none" w:sz="0" w:space="0" w:color="auto"/>
            <w:left w:val="none" w:sz="0" w:space="0" w:color="auto"/>
            <w:bottom w:val="none" w:sz="0" w:space="0" w:color="auto"/>
            <w:right w:val="none" w:sz="0" w:space="0" w:color="auto"/>
          </w:divBdr>
        </w:div>
        <w:div w:id="1979413595">
          <w:marLeft w:val="480"/>
          <w:marRight w:val="0"/>
          <w:marTop w:val="0"/>
          <w:marBottom w:val="0"/>
          <w:divBdr>
            <w:top w:val="none" w:sz="0" w:space="0" w:color="auto"/>
            <w:left w:val="none" w:sz="0" w:space="0" w:color="auto"/>
            <w:bottom w:val="none" w:sz="0" w:space="0" w:color="auto"/>
            <w:right w:val="none" w:sz="0" w:space="0" w:color="auto"/>
          </w:divBdr>
        </w:div>
        <w:div w:id="2000889317">
          <w:marLeft w:val="480"/>
          <w:marRight w:val="0"/>
          <w:marTop w:val="0"/>
          <w:marBottom w:val="0"/>
          <w:divBdr>
            <w:top w:val="none" w:sz="0" w:space="0" w:color="auto"/>
            <w:left w:val="none" w:sz="0" w:space="0" w:color="auto"/>
            <w:bottom w:val="none" w:sz="0" w:space="0" w:color="auto"/>
            <w:right w:val="none" w:sz="0" w:space="0" w:color="auto"/>
          </w:divBdr>
        </w:div>
        <w:div w:id="1224213944">
          <w:marLeft w:val="480"/>
          <w:marRight w:val="0"/>
          <w:marTop w:val="0"/>
          <w:marBottom w:val="0"/>
          <w:divBdr>
            <w:top w:val="none" w:sz="0" w:space="0" w:color="auto"/>
            <w:left w:val="none" w:sz="0" w:space="0" w:color="auto"/>
            <w:bottom w:val="none" w:sz="0" w:space="0" w:color="auto"/>
            <w:right w:val="none" w:sz="0" w:space="0" w:color="auto"/>
          </w:divBdr>
        </w:div>
        <w:div w:id="1918401197">
          <w:marLeft w:val="480"/>
          <w:marRight w:val="0"/>
          <w:marTop w:val="0"/>
          <w:marBottom w:val="0"/>
          <w:divBdr>
            <w:top w:val="none" w:sz="0" w:space="0" w:color="auto"/>
            <w:left w:val="none" w:sz="0" w:space="0" w:color="auto"/>
            <w:bottom w:val="none" w:sz="0" w:space="0" w:color="auto"/>
            <w:right w:val="none" w:sz="0" w:space="0" w:color="auto"/>
          </w:divBdr>
        </w:div>
      </w:divsChild>
    </w:div>
    <w:div w:id="1576667218">
      <w:bodyDiv w:val="1"/>
      <w:marLeft w:val="0"/>
      <w:marRight w:val="0"/>
      <w:marTop w:val="0"/>
      <w:marBottom w:val="0"/>
      <w:divBdr>
        <w:top w:val="none" w:sz="0" w:space="0" w:color="auto"/>
        <w:left w:val="none" w:sz="0" w:space="0" w:color="auto"/>
        <w:bottom w:val="none" w:sz="0" w:space="0" w:color="auto"/>
        <w:right w:val="none" w:sz="0" w:space="0" w:color="auto"/>
      </w:divBdr>
    </w:div>
    <w:div w:id="1577472839">
      <w:bodyDiv w:val="1"/>
      <w:marLeft w:val="0"/>
      <w:marRight w:val="0"/>
      <w:marTop w:val="0"/>
      <w:marBottom w:val="0"/>
      <w:divBdr>
        <w:top w:val="none" w:sz="0" w:space="0" w:color="auto"/>
        <w:left w:val="none" w:sz="0" w:space="0" w:color="auto"/>
        <w:bottom w:val="none" w:sz="0" w:space="0" w:color="auto"/>
        <w:right w:val="none" w:sz="0" w:space="0" w:color="auto"/>
      </w:divBdr>
    </w:div>
    <w:div w:id="1577787147">
      <w:bodyDiv w:val="1"/>
      <w:marLeft w:val="0"/>
      <w:marRight w:val="0"/>
      <w:marTop w:val="0"/>
      <w:marBottom w:val="0"/>
      <w:divBdr>
        <w:top w:val="none" w:sz="0" w:space="0" w:color="auto"/>
        <w:left w:val="none" w:sz="0" w:space="0" w:color="auto"/>
        <w:bottom w:val="none" w:sz="0" w:space="0" w:color="auto"/>
        <w:right w:val="none" w:sz="0" w:space="0" w:color="auto"/>
      </w:divBdr>
    </w:div>
    <w:div w:id="1578199776">
      <w:bodyDiv w:val="1"/>
      <w:marLeft w:val="0"/>
      <w:marRight w:val="0"/>
      <w:marTop w:val="0"/>
      <w:marBottom w:val="0"/>
      <w:divBdr>
        <w:top w:val="none" w:sz="0" w:space="0" w:color="auto"/>
        <w:left w:val="none" w:sz="0" w:space="0" w:color="auto"/>
        <w:bottom w:val="none" w:sz="0" w:space="0" w:color="auto"/>
        <w:right w:val="none" w:sz="0" w:space="0" w:color="auto"/>
      </w:divBdr>
    </w:div>
    <w:div w:id="1580753335">
      <w:bodyDiv w:val="1"/>
      <w:marLeft w:val="0"/>
      <w:marRight w:val="0"/>
      <w:marTop w:val="0"/>
      <w:marBottom w:val="0"/>
      <w:divBdr>
        <w:top w:val="none" w:sz="0" w:space="0" w:color="auto"/>
        <w:left w:val="none" w:sz="0" w:space="0" w:color="auto"/>
        <w:bottom w:val="none" w:sz="0" w:space="0" w:color="auto"/>
        <w:right w:val="none" w:sz="0" w:space="0" w:color="auto"/>
      </w:divBdr>
    </w:div>
    <w:div w:id="1584533797">
      <w:bodyDiv w:val="1"/>
      <w:marLeft w:val="0"/>
      <w:marRight w:val="0"/>
      <w:marTop w:val="0"/>
      <w:marBottom w:val="0"/>
      <w:divBdr>
        <w:top w:val="none" w:sz="0" w:space="0" w:color="auto"/>
        <w:left w:val="none" w:sz="0" w:space="0" w:color="auto"/>
        <w:bottom w:val="none" w:sz="0" w:space="0" w:color="auto"/>
        <w:right w:val="none" w:sz="0" w:space="0" w:color="auto"/>
      </w:divBdr>
    </w:div>
    <w:div w:id="1584947311">
      <w:bodyDiv w:val="1"/>
      <w:marLeft w:val="0"/>
      <w:marRight w:val="0"/>
      <w:marTop w:val="0"/>
      <w:marBottom w:val="0"/>
      <w:divBdr>
        <w:top w:val="none" w:sz="0" w:space="0" w:color="auto"/>
        <w:left w:val="none" w:sz="0" w:space="0" w:color="auto"/>
        <w:bottom w:val="none" w:sz="0" w:space="0" w:color="auto"/>
        <w:right w:val="none" w:sz="0" w:space="0" w:color="auto"/>
      </w:divBdr>
    </w:div>
    <w:div w:id="1587374157">
      <w:bodyDiv w:val="1"/>
      <w:marLeft w:val="0"/>
      <w:marRight w:val="0"/>
      <w:marTop w:val="0"/>
      <w:marBottom w:val="0"/>
      <w:divBdr>
        <w:top w:val="none" w:sz="0" w:space="0" w:color="auto"/>
        <w:left w:val="none" w:sz="0" w:space="0" w:color="auto"/>
        <w:bottom w:val="none" w:sz="0" w:space="0" w:color="auto"/>
        <w:right w:val="none" w:sz="0" w:space="0" w:color="auto"/>
      </w:divBdr>
    </w:div>
    <w:div w:id="1587572447">
      <w:bodyDiv w:val="1"/>
      <w:marLeft w:val="0"/>
      <w:marRight w:val="0"/>
      <w:marTop w:val="0"/>
      <w:marBottom w:val="0"/>
      <w:divBdr>
        <w:top w:val="none" w:sz="0" w:space="0" w:color="auto"/>
        <w:left w:val="none" w:sz="0" w:space="0" w:color="auto"/>
        <w:bottom w:val="none" w:sz="0" w:space="0" w:color="auto"/>
        <w:right w:val="none" w:sz="0" w:space="0" w:color="auto"/>
      </w:divBdr>
    </w:div>
    <w:div w:id="1592079146">
      <w:bodyDiv w:val="1"/>
      <w:marLeft w:val="0"/>
      <w:marRight w:val="0"/>
      <w:marTop w:val="0"/>
      <w:marBottom w:val="0"/>
      <w:divBdr>
        <w:top w:val="none" w:sz="0" w:space="0" w:color="auto"/>
        <w:left w:val="none" w:sz="0" w:space="0" w:color="auto"/>
        <w:bottom w:val="none" w:sz="0" w:space="0" w:color="auto"/>
        <w:right w:val="none" w:sz="0" w:space="0" w:color="auto"/>
      </w:divBdr>
    </w:div>
    <w:div w:id="1592620800">
      <w:bodyDiv w:val="1"/>
      <w:marLeft w:val="0"/>
      <w:marRight w:val="0"/>
      <w:marTop w:val="0"/>
      <w:marBottom w:val="0"/>
      <w:divBdr>
        <w:top w:val="none" w:sz="0" w:space="0" w:color="auto"/>
        <w:left w:val="none" w:sz="0" w:space="0" w:color="auto"/>
        <w:bottom w:val="none" w:sz="0" w:space="0" w:color="auto"/>
        <w:right w:val="none" w:sz="0" w:space="0" w:color="auto"/>
      </w:divBdr>
    </w:div>
    <w:div w:id="1594169138">
      <w:bodyDiv w:val="1"/>
      <w:marLeft w:val="0"/>
      <w:marRight w:val="0"/>
      <w:marTop w:val="0"/>
      <w:marBottom w:val="0"/>
      <w:divBdr>
        <w:top w:val="none" w:sz="0" w:space="0" w:color="auto"/>
        <w:left w:val="none" w:sz="0" w:space="0" w:color="auto"/>
        <w:bottom w:val="none" w:sz="0" w:space="0" w:color="auto"/>
        <w:right w:val="none" w:sz="0" w:space="0" w:color="auto"/>
      </w:divBdr>
    </w:div>
    <w:div w:id="1595237828">
      <w:bodyDiv w:val="1"/>
      <w:marLeft w:val="0"/>
      <w:marRight w:val="0"/>
      <w:marTop w:val="0"/>
      <w:marBottom w:val="0"/>
      <w:divBdr>
        <w:top w:val="none" w:sz="0" w:space="0" w:color="auto"/>
        <w:left w:val="none" w:sz="0" w:space="0" w:color="auto"/>
        <w:bottom w:val="none" w:sz="0" w:space="0" w:color="auto"/>
        <w:right w:val="none" w:sz="0" w:space="0" w:color="auto"/>
      </w:divBdr>
    </w:div>
    <w:div w:id="1598557260">
      <w:bodyDiv w:val="1"/>
      <w:marLeft w:val="0"/>
      <w:marRight w:val="0"/>
      <w:marTop w:val="0"/>
      <w:marBottom w:val="0"/>
      <w:divBdr>
        <w:top w:val="none" w:sz="0" w:space="0" w:color="auto"/>
        <w:left w:val="none" w:sz="0" w:space="0" w:color="auto"/>
        <w:bottom w:val="none" w:sz="0" w:space="0" w:color="auto"/>
        <w:right w:val="none" w:sz="0" w:space="0" w:color="auto"/>
      </w:divBdr>
    </w:div>
    <w:div w:id="1598899387">
      <w:bodyDiv w:val="1"/>
      <w:marLeft w:val="0"/>
      <w:marRight w:val="0"/>
      <w:marTop w:val="0"/>
      <w:marBottom w:val="0"/>
      <w:divBdr>
        <w:top w:val="none" w:sz="0" w:space="0" w:color="auto"/>
        <w:left w:val="none" w:sz="0" w:space="0" w:color="auto"/>
        <w:bottom w:val="none" w:sz="0" w:space="0" w:color="auto"/>
        <w:right w:val="none" w:sz="0" w:space="0" w:color="auto"/>
      </w:divBdr>
    </w:div>
    <w:div w:id="1600016693">
      <w:bodyDiv w:val="1"/>
      <w:marLeft w:val="0"/>
      <w:marRight w:val="0"/>
      <w:marTop w:val="0"/>
      <w:marBottom w:val="0"/>
      <w:divBdr>
        <w:top w:val="none" w:sz="0" w:space="0" w:color="auto"/>
        <w:left w:val="none" w:sz="0" w:space="0" w:color="auto"/>
        <w:bottom w:val="none" w:sz="0" w:space="0" w:color="auto"/>
        <w:right w:val="none" w:sz="0" w:space="0" w:color="auto"/>
      </w:divBdr>
    </w:div>
    <w:div w:id="1600331245">
      <w:bodyDiv w:val="1"/>
      <w:marLeft w:val="0"/>
      <w:marRight w:val="0"/>
      <w:marTop w:val="0"/>
      <w:marBottom w:val="0"/>
      <w:divBdr>
        <w:top w:val="none" w:sz="0" w:space="0" w:color="auto"/>
        <w:left w:val="none" w:sz="0" w:space="0" w:color="auto"/>
        <w:bottom w:val="none" w:sz="0" w:space="0" w:color="auto"/>
        <w:right w:val="none" w:sz="0" w:space="0" w:color="auto"/>
      </w:divBdr>
    </w:div>
    <w:div w:id="1605189110">
      <w:bodyDiv w:val="1"/>
      <w:marLeft w:val="0"/>
      <w:marRight w:val="0"/>
      <w:marTop w:val="0"/>
      <w:marBottom w:val="0"/>
      <w:divBdr>
        <w:top w:val="none" w:sz="0" w:space="0" w:color="auto"/>
        <w:left w:val="none" w:sz="0" w:space="0" w:color="auto"/>
        <w:bottom w:val="none" w:sz="0" w:space="0" w:color="auto"/>
        <w:right w:val="none" w:sz="0" w:space="0" w:color="auto"/>
      </w:divBdr>
    </w:div>
    <w:div w:id="1605528939">
      <w:bodyDiv w:val="1"/>
      <w:marLeft w:val="0"/>
      <w:marRight w:val="0"/>
      <w:marTop w:val="0"/>
      <w:marBottom w:val="0"/>
      <w:divBdr>
        <w:top w:val="none" w:sz="0" w:space="0" w:color="auto"/>
        <w:left w:val="none" w:sz="0" w:space="0" w:color="auto"/>
        <w:bottom w:val="none" w:sz="0" w:space="0" w:color="auto"/>
        <w:right w:val="none" w:sz="0" w:space="0" w:color="auto"/>
      </w:divBdr>
    </w:div>
    <w:div w:id="1608849321">
      <w:bodyDiv w:val="1"/>
      <w:marLeft w:val="0"/>
      <w:marRight w:val="0"/>
      <w:marTop w:val="0"/>
      <w:marBottom w:val="0"/>
      <w:divBdr>
        <w:top w:val="none" w:sz="0" w:space="0" w:color="auto"/>
        <w:left w:val="none" w:sz="0" w:space="0" w:color="auto"/>
        <w:bottom w:val="none" w:sz="0" w:space="0" w:color="auto"/>
        <w:right w:val="none" w:sz="0" w:space="0" w:color="auto"/>
      </w:divBdr>
    </w:div>
    <w:div w:id="1609040347">
      <w:bodyDiv w:val="1"/>
      <w:marLeft w:val="0"/>
      <w:marRight w:val="0"/>
      <w:marTop w:val="0"/>
      <w:marBottom w:val="0"/>
      <w:divBdr>
        <w:top w:val="none" w:sz="0" w:space="0" w:color="auto"/>
        <w:left w:val="none" w:sz="0" w:space="0" w:color="auto"/>
        <w:bottom w:val="none" w:sz="0" w:space="0" w:color="auto"/>
        <w:right w:val="none" w:sz="0" w:space="0" w:color="auto"/>
      </w:divBdr>
    </w:div>
    <w:div w:id="1610506873">
      <w:bodyDiv w:val="1"/>
      <w:marLeft w:val="0"/>
      <w:marRight w:val="0"/>
      <w:marTop w:val="0"/>
      <w:marBottom w:val="0"/>
      <w:divBdr>
        <w:top w:val="none" w:sz="0" w:space="0" w:color="auto"/>
        <w:left w:val="none" w:sz="0" w:space="0" w:color="auto"/>
        <w:bottom w:val="none" w:sz="0" w:space="0" w:color="auto"/>
        <w:right w:val="none" w:sz="0" w:space="0" w:color="auto"/>
      </w:divBdr>
    </w:div>
    <w:div w:id="1615164634">
      <w:bodyDiv w:val="1"/>
      <w:marLeft w:val="0"/>
      <w:marRight w:val="0"/>
      <w:marTop w:val="0"/>
      <w:marBottom w:val="0"/>
      <w:divBdr>
        <w:top w:val="none" w:sz="0" w:space="0" w:color="auto"/>
        <w:left w:val="none" w:sz="0" w:space="0" w:color="auto"/>
        <w:bottom w:val="none" w:sz="0" w:space="0" w:color="auto"/>
        <w:right w:val="none" w:sz="0" w:space="0" w:color="auto"/>
      </w:divBdr>
    </w:div>
    <w:div w:id="1619022056">
      <w:bodyDiv w:val="1"/>
      <w:marLeft w:val="0"/>
      <w:marRight w:val="0"/>
      <w:marTop w:val="0"/>
      <w:marBottom w:val="0"/>
      <w:divBdr>
        <w:top w:val="none" w:sz="0" w:space="0" w:color="auto"/>
        <w:left w:val="none" w:sz="0" w:space="0" w:color="auto"/>
        <w:bottom w:val="none" w:sz="0" w:space="0" w:color="auto"/>
        <w:right w:val="none" w:sz="0" w:space="0" w:color="auto"/>
      </w:divBdr>
    </w:div>
    <w:div w:id="1619485261">
      <w:bodyDiv w:val="1"/>
      <w:marLeft w:val="0"/>
      <w:marRight w:val="0"/>
      <w:marTop w:val="0"/>
      <w:marBottom w:val="0"/>
      <w:divBdr>
        <w:top w:val="none" w:sz="0" w:space="0" w:color="auto"/>
        <w:left w:val="none" w:sz="0" w:space="0" w:color="auto"/>
        <w:bottom w:val="none" w:sz="0" w:space="0" w:color="auto"/>
        <w:right w:val="none" w:sz="0" w:space="0" w:color="auto"/>
      </w:divBdr>
    </w:div>
    <w:div w:id="1622615637">
      <w:bodyDiv w:val="1"/>
      <w:marLeft w:val="0"/>
      <w:marRight w:val="0"/>
      <w:marTop w:val="0"/>
      <w:marBottom w:val="0"/>
      <w:divBdr>
        <w:top w:val="none" w:sz="0" w:space="0" w:color="auto"/>
        <w:left w:val="none" w:sz="0" w:space="0" w:color="auto"/>
        <w:bottom w:val="none" w:sz="0" w:space="0" w:color="auto"/>
        <w:right w:val="none" w:sz="0" w:space="0" w:color="auto"/>
      </w:divBdr>
    </w:div>
    <w:div w:id="1623851523">
      <w:bodyDiv w:val="1"/>
      <w:marLeft w:val="0"/>
      <w:marRight w:val="0"/>
      <w:marTop w:val="0"/>
      <w:marBottom w:val="0"/>
      <w:divBdr>
        <w:top w:val="none" w:sz="0" w:space="0" w:color="auto"/>
        <w:left w:val="none" w:sz="0" w:space="0" w:color="auto"/>
        <w:bottom w:val="none" w:sz="0" w:space="0" w:color="auto"/>
        <w:right w:val="none" w:sz="0" w:space="0" w:color="auto"/>
      </w:divBdr>
    </w:div>
    <w:div w:id="1626766315">
      <w:bodyDiv w:val="1"/>
      <w:marLeft w:val="0"/>
      <w:marRight w:val="0"/>
      <w:marTop w:val="0"/>
      <w:marBottom w:val="0"/>
      <w:divBdr>
        <w:top w:val="none" w:sz="0" w:space="0" w:color="auto"/>
        <w:left w:val="none" w:sz="0" w:space="0" w:color="auto"/>
        <w:bottom w:val="none" w:sz="0" w:space="0" w:color="auto"/>
        <w:right w:val="none" w:sz="0" w:space="0" w:color="auto"/>
      </w:divBdr>
    </w:div>
    <w:div w:id="1635866900">
      <w:bodyDiv w:val="1"/>
      <w:marLeft w:val="0"/>
      <w:marRight w:val="0"/>
      <w:marTop w:val="0"/>
      <w:marBottom w:val="0"/>
      <w:divBdr>
        <w:top w:val="none" w:sz="0" w:space="0" w:color="auto"/>
        <w:left w:val="none" w:sz="0" w:space="0" w:color="auto"/>
        <w:bottom w:val="none" w:sz="0" w:space="0" w:color="auto"/>
        <w:right w:val="none" w:sz="0" w:space="0" w:color="auto"/>
      </w:divBdr>
    </w:div>
    <w:div w:id="1637484972">
      <w:bodyDiv w:val="1"/>
      <w:marLeft w:val="0"/>
      <w:marRight w:val="0"/>
      <w:marTop w:val="0"/>
      <w:marBottom w:val="0"/>
      <w:divBdr>
        <w:top w:val="none" w:sz="0" w:space="0" w:color="auto"/>
        <w:left w:val="none" w:sz="0" w:space="0" w:color="auto"/>
        <w:bottom w:val="none" w:sz="0" w:space="0" w:color="auto"/>
        <w:right w:val="none" w:sz="0" w:space="0" w:color="auto"/>
      </w:divBdr>
    </w:div>
    <w:div w:id="1638336270">
      <w:bodyDiv w:val="1"/>
      <w:marLeft w:val="0"/>
      <w:marRight w:val="0"/>
      <w:marTop w:val="0"/>
      <w:marBottom w:val="0"/>
      <w:divBdr>
        <w:top w:val="none" w:sz="0" w:space="0" w:color="auto"/>
        <w:left w:val="none" w:sz="0" w:space="0" w:color="auto"/>
        <w:bottom w:val="none" w:sz="0" w:space="0" w:color="auto"/>
        <w:right w:val="none" w:sz="0" w:space="0" w:color="auto"/>
      </w:divBdr>
    </w:div>
    <w:div w:id="1638876542">
      <w:bodyDiv w:val="1"/>
      <w:marLeft w:val="0"/>
      <w:marRight w:val="0"/>
      <w:marTop w:val="0"/>
      <w:marBottom w:val="0"/>
      <w:divBdr>
        <w:top w:val="none" w:sz="0" w:space="0" w:color="auto"/>
        <w:left w:val="none" w:sz="0" w:space="0" w:color="auto"/>
        <w:bottom w:val="none" w:sz="0" w:space="0" w:color="auto"/>
        <w:right w:val="none" w:sz="0" w:space="0" w:color="auto"/>
      </w:divBdr>
    </w:div>
    <w:div w:id="1639535035">
      <w:bodyDiv w:val="1"/>
      <w:marLeft w:val="0"/>
      <w:marRight w:val="0"/>
      <w:marTop w:val="0"/>
      <w:marBottom w:val="0"/>
      <w:divBdr>
        <w:top w:val="none" w:sz="0" w:space="0" w:color="auto"/>
        <w:left w:val="none" w:sz="0" w:space="0" w:color="auto"/>
        <w:bottom w:val="none" w:sz="0" w:space="0" w:color="auto"/>
        <w:right w:val="none" w:sz="0" w:space="0" w:color="auto"/>
      </w:divBdr>
    </w:div>
    <w:div w:id="1640761697">
      <w:bodyDiv w:val="1"/>
      <w:marLeft w:val="0"/>
      <w:marRight w:val="0"/>
      <w:marTop w:val="0"/>
      <w:marBottom w:val="0"/>
      <w:divBdr>
        <w:top w:val="none" w:sz="0" w:space="0" w:color="auto"/>
        <w:left w:val="none" w:sz="0" w:space="0" w:color="auto"/>
        <w:bottom w:val="none" w:sz="0" w:space="0" w:color="auto"/>
        <w:right w:val="none" w:sz="0" w:space="0" w:color="auto"/>
      </w:divBdr>
    </w:div>
    <w:div w:id="1641767543">
      <w:bodyDiv w:val="1"/>
      <w:marLeft w:val="0"/>
      <w:marRight w:val="0"/>
      <w:marTop w:val="0"/>
      <w:marBottom w:val="0"/>
      <w:divBdr>
        <w:top w:val="none" w:sz="0" w:space="0" w:color="auto"/>
        <w:left w:val="none" w:sz="0" w:space="0" w:color="auto"/>
        <w:bottom w:val="none" w:sz="0" w:space="0" w:color="auto"/>
        <w:right w:val="none" w:sz="0" w:space="0" w:color="auto"/>
      </w:divBdr>
    </w:div>
    <w:div w:id="1646275352">
      <w:bodyDiv w:val="1"/>
      <w:marLeft w:val="0"/>
      <w:marRight w:val="0"/>
      <w:marTop w:val="0"/>
      <w:marBottom w:val="0"/>
      <w:divBdr>
        <w:top w:val="none" w:sz="0" w:space="0" w:color="auto"/>
        <w:left w:val="none" w:sz="0" w:space="0" w:color="auto"/>
        <w:bottom w:val="none" w:sz="0" w:space="0" w:color="auto"/>
        <w:right w:val="none" w:sz="0" w:space="0" w:color="auto"/>
      </w:divBdr>
    </w:div>
    <w:div w:id="1646355431">
      <w:bodyDiv w:val="1"/>
      <w:marLeft w:val="0"/>
      <w:marRight w:val="0"/>
      <w:marTop w:val="0"/>
      <w:marBottom w:val="0"/>
      <w:divBdr>
        <w:top w:val="none" w:sz="0" w:space="0" w:color="auto"/>
        <w:left w:val="none" w:sz="0" w:space="0" w:color="auto"/>
        <w:bottom w:val="none" w:sz="0" w:space="0" w:color="auto"/>
        <w:right w:val="none" w:sz="0" w:space="0" w:color="auto"/>
      </w:divBdr>
    </w:div>
    <w:div w:id="1647667356">
      <w:bodyDiv w:val="1"/>
      <w:marLeft w:val="0"/>
      <w:marRight w:val="0"/>
      <w:marTop w:val="0"/>
      <w:marBottom w:val="0"/>
      <w:divBdr>
        <w:top w:val="none" w:sz="0" w:space="0" w:color="auto"/>
        <w:left w:val="none" w:sz="0" w:space="0" w:color="auto"/>
        <w:bottom w:val="none" w:sz="0" w:space="0" w:color="auto"/>
        <w:right w:val="none" w:sz="0" w:space="0" w:color="auto"/>
      </w:divBdr>
    </w:div>
    <w:div w:id="1649478749">
      <w:bodyDiv w:val="1"/>
      <w:marLeft w:val="0"/>
      <w:marRight w:val="0"/>
      <w:marTop w:val="0"/>
      <w:marBottom w:val="0"/>
      <w:divBdr>
        <w:top w:val="none" w:sz="0" w:space="0" w:color="auto"/>
        <w:left w:val="none" w:sz="0" w:space="0" w:color="auto"/>
        <w:bottom w:val="none" w:sz="0" w:space="0" w:color="auto"/>
        <w:right w:val="none" w:sz="0" w:space="0" w:color="auto"/>
      </w:divBdr>
    </w:div>
    <w:div w:id="1650204305">
      <w:bodyDiv w:val="1"/>
      <w:marLeft w:val="0"/>
      <w:marRight w:val="0"/>
      <w:marTop w:val="0"/>
      <w:marBottom w:val="0"/>
      <w:divBdr>
        <w:top w:val="none" w:sz="0" w:space="0" w:color="auto"/>
        <w:left w:val="none" w:sz="0" w:space="0" w:color="auto"/>
        <w:bottom w:val="none" w:sz="0" w:space="0" w:color="auto"/>
        <w:right w:val="none" w:sz="0" w:space="0" w:color="auto"/>
      </w:divBdr>
    </w:div>
    <w:div w:id="1651717237">
      <w:bodyDiv w:val="1"/>
      <w:marLeft w:val="0"/>
      <w:marRight w:val="0"/>
      <w:marTop w:val="0"/>
      <w:marBottom w:val="0"/>
      <w:divBdr>
        <w:top w:val="none" w:sz="0" w:space="0" w:color="auto"/>
        <w:left w:val="none" w:sz="0" w:space="0" w:color="auto"/>
        <w:bottom w:val="none" w:sz="0" w:space="0" w:color="auto"/>
        <w:right w:val="none" w:sz="0" w:space="0" w:color="auto"/>
      </w:divBdr>
    </w:div>
    <w:div w:id="1651788462">
      <w:bodyDiv w:val="1"/>
      <w:marLeft w:val="0"/>
      <w:marRight w:val="0"/>
      <w:marTop w:val="0"/>
      <w:marBottom w:val="0"/>
      <w:divBdr>
        <w:top w:val="none" w:sz="0" w:space="0" w:color="auto"/>
        <w:left w:val="none" w:sz="0" w:space="0" w:color="auto"/>
        <w:bottom w:val="none" w:sz="0" w:space="0" w:color="auto"/>
        <w:right w:val="none" w:sz="0" w:space="0" w:color="auto"/>
      </w:divBdr>
    </w:div>
    <w:div w:id="1652755812">
      <w:bodyDiv w:val="1"/>
      <w:marLeft w:val="0"/>
      <w:marRight w:val="0"/>
      <w:marTop w:val="0"/>
      <w:marBottom w:val="0"/>
      <w:divBdr>
        <w:top w:val="none" w:sz="0" w:space="0" w:color="auto"/>
        <w:left w:val="none" w:sz="0" w:space="0" w:color="auto"/>
        <w:bottom w:val="none" w:sz="0" w:space="0" w:color="auto"/>
        <w:right w:val="none" w:sz="0" w:space="0" w:color="auto"/>
      </w:divBdr>
    </w:div>
    <w:div w:id="1653026923">
      <w:bodyDiv w:val="1"/>
      <w:marLeft w:val="0"/>
      <w:marRight w:val="0"/>
      <w:marTop w:val="0"/>
      <w:marBottom w:val="0"/>
      <w:divBdr>
        <w:top w:val="none" w:sz="0" w:space="0" w:color="auto"/>
        <w:left w:val="none" w:sz="0" w:space="0" w:color="auto"/>
        <w:bottom w:val="none" w:sz="0" w:space="0" w:color="auto"/>
        <w:right w:val="none" w:sz="0" w:space="0" w:color="auto"/>
      </w:divBdr>
    </w:div>
    <w:div w:id="1653483026">
      <w:bodyDiv w:val="1"/>
      <w:marLeft w:val="0"/>
      <w:marRight w:val="0"/>
      <w:marTop w:val="0"/>
      <w:marBottom w:val="0"/>
      <w:divBdr>
        <w:top w:val="none" w:sz="0" w:space="0" w:color="auto"/>
        <w:left w:val="none" w:sz="0" w:space="0" w:color="auto"/>
        <w:bottom w:val="none" w:sz="0" w:space="0" w:color="auto"/>
        <w:right w:val="none" w:sz="0" w:space="0" w:color="auto"/>
      </w:divBdr>
    </w:div>
    <w:div w:id="1654871661">
      <w:bodyDiv w:val="1"/>
      <w:marLeft w:val="0"/>
      <w:marRight w:val="0"/>
      <w:marTop w:val="0"/>
      <w:marBottom w:val="0"/>
      <w:divBdr>
        <w:top w:val="none" w:sz="0" w:space="0" w:color="auto"/>
        <w:left w:val="none" w:sz="0" w:space="0" w:color="auto"/>
        <w:bottom w:val="none" w:sz="0" w:space="0" w:color="auto"/>
        <w:right w:val="none" w:sz="0" w:space="0" w:color="auto"/>
      </w:divBdr>
    </w:div>
    <w:div w:id="1656033249">
      <w:bodyDiv w:val="1"/>
      <w:marLeft w:val="0"/>
      <w:marRight w:val="0"/>
      <w:marTop w:val="0"/>
      <w:marBottom w:val="0"/>
      <w:divBdr>
        <w:top w:val="none" w:sz="0" w:space="0" w:color="auto"/>
        <w:left w:val="none" w:sz="0" w:space="0" w:color="auto"/>
        <w:bottom w:val="none" w:sz="0" w:space="0" w:color="auto"/>
        <w:right w:val="none" w:sz="0" w:space="0" w:color="auto"/>
      </w:divBdr>
    </w:div>
    <w:div w:id="1656495415">
      <w:bodyDiv w:val="1"/>
      <w:marLeft w:val="0"/>
      <w:marRight w:val="0"/>
      <w:marTop w:val="0"/>
      <w:marBottom w:val="0"/>
      <w:divBdr>
        <w:top w:val="none" w:sz="0" w:space="0" w:color="auto"/>
        <w:left w:val="none" w:sz="0" w:space="0" w:color="auto"/>
        <w:bottom w:val="none" w:sz="0" w:space="0" w:color="auto"/>
        <w:right w:val="none" w:sz="0" w:space="0" w:color="auto"/>
      </w:divBdr>
    </w:div>
    <w:div w:id="1658531459">
      <w:bodyDiv w:val="1"/>
      <w:marLeft w:val="0"/>
      <w:marRight w:val="0"/>
      <w:marTop w:val="0"/>
      <w:marBottom w:val="0"/>
      <w:divBdr>
        <w:top w:val="none" w:sz="0" w:space="0" w:color="auto"/>
        <w:left w:val="none" w:sz="0" w:space="0" w:color="auto"/>
        <w:bottom w:val="none" w:sz="0" w:space="0" w:color="auto"/>
        <w:right w:val="none" w:sz="0" w:space="0" w:color="auto"/>
      </w:divBdr>
    </w:div>
    <w:div w:id="1658992926">
      <w:bodyDiv w:val="1"/>
      <w:marLeft w:val="0"/>
      <w:marRight w:val="0"/>
      <w:marTop w:val="0"/>
      <w:marBottom w:val="0"/>
      <w:divBdr>
        <w:top w:val="none" w:sz="0" w:space="0" w:color="auto"/>
        <w:left w:val="none" w:sz="0" w:space="0" w:color="auto"/>
        <w:bottom w:val="none" w:sz="0" w:space="0" w:color="auto"/>
        <w:right w:val="none" w:sz="0" w:space="0" w:color="auto"/>
      </w:divBdr>
    </w:div>
    <w:div w:id="1660033350">
      <w:bodyDiv w:val="1"/>
      <w:marLeft w:val="0"/>
      <w:marRight w:val="0"/>
      <w:marTop w:val="0"/>
      <w:marBottom w:val="0"/>
      <w:divBdr>
        <w:top w:val="none" w:sz="0" w:space="0" w:color="auto"/>
        <w:left w:val="none" w:sz="0" w:space="0" w:color="auto"/>
        <w:bottom w:val="none" w:sz="0" w:space="0" w:color="auto"/>
        <w:right w:val="none" w:sz="0" w:space="0" w:color="auto"/>
      </w:divBdr>
    </w:div>
    <w:div w:id="1660420365">
      <w:bodyDiv w:val="1"/>
      <w:marLeft w:val="0"/>
      <w:marRight w:val="0"/>
      <w:marTop w:val="0"/>
      <w:marBottom w:val="0"/>
      <w:divBdr>
        <w:top w:val="none" w:sz="0" w:space="0" w:color="auto"/>
        <w:left w:val="none" w:sz="0" w:space="0" w:color="auto"/>
        <w:bottom w:val="none" w:sz="0" w:space="0" w:color="auto"/>
        <w:right w:val="none" w:sz="0" w:space="0" w:color="auto"/>
      </w:divBdr>
    </w:div>
    <w:div w:id="1660427203">
      <w:bodyDiv w:val="1"/>
      <w:marLeft w:val="0"/>
      <w:marRight w:val="0"/>
      <w:marTop w:val="0"/>
      <w:marBottom w:val="0"/>
      <w:divBdr>
        <w:top w:val="none" w:sz="0" w:space="0" w:color="auto"/>
        <w:left w:val="none" w:sz="0" w:space="0" w:color="auto"/>
        <w:bottom w:val="none" w:sz="0" w:space="0" w:color="auto"/>
        <w:right w:val="none" w:sz="0" w:space="0" w:color="auto"/>
      </w:divBdr>
    </w:div>
    <w:div w:id="1660886110">
      <w:bodyDiv w:val="1"/>
      <w:marLeft w:val="0"/>
      <w:marRight w:val="0"/>
      <w:marTop w:val="0"/>
      <w:marBottom w:val="0"/>
      <w:divBdr>
        <w:top w:val="none" w:sz="0" w:space="0" w:color="auto"/>
        <w:left w:val="none" w:sz="0" w:space="0" w:color="auto"/>
        <w:bottom w:val="none" w:sz="0" w:space="0" w:color="auto"/>
        <w:right w:val="none" w:sz="0" w:space="0" w:color="auto"/>
      </w:divBdr>
    </w:div>
    <w:div w:id="1663121289">
      <w:bodyDiv w:val="1"/>
      <w:marLeft w:val="0"/>
      <w:marRight w:val="0"/>
      <w:marTop w:val="0"/>
      <w:marBottom w:val="0"/>
      <w:divBdr>
        <w:top w:val="none" w:sz="0" w:space="0" w:color="auto"/>
        <w:left w:val="none" w:sz="0" w:space="0" w:color="auto"/>
        <w:bottom w:val="none" w:sz="0" w:space="0" w:color="auto"/>
        <w:right w:val="none" w:sz="0" w:space="0" w:color="auto"/>
      </w:divBdr>
    </w:div>
    <w:div w:id="1668944993">
      <w:bodyDiv w:val="1"/>
      <w:marLeft w:val="0"/>
      <w:marRight w:val="0"/>
      <w:marTop w:val="0"/>
      <w:marBottom w:val="0"/>
      <w:divBdr>
        <w:top w:val="none" w:sz="0" w:space="0" w:color="auto"/>
        <w:left w:val="none" w:sz="0" w:space="0" w:color="auto"/>
        <w:bottom w:val="none" w:sz="0" w:space="0" w:color="auto"/>
        <w:right w:val="none" w:sz="0" w:space="0" w:color="auto"/>
      </w:divBdr>
    </w:div>
    <w:div w:id="1674330647">
      <w:bodyDiv w:val="1"/>
      <w:marLeft w:val="0"/>
      <w:marRight w:val="0"/>
      <w:marTop w:val="0"/>
      <w:marBottom w:val="0"/>
      <w:divBdr>
        <w:top w:val="none" w:sz="0" w:space="0" w:color="auto"/>
        <w:left w:val="none" w:sz="0" w:space="0" w:color="auto"/>
        <w:bottom w:val="none" w:sz="0" w:space="0" w:color="auto"/>
        <w:right w:val="none" w:sz="0" w:space="0" w:color="auto"/>
      </w:divBdr>
    </w:div>
    <w:div w:id="1674408371">
      <w:bodyDiv w:val="1"/>
      <w:marLeft w:val="0"/>
      <w:marRight w:val="0"/>
      <w:marTop w:val="0"/>
      <w:marBottom w:val="0"/>
      <w:divBdr>
        <w:top w:val="none" w:sz="0" w:space="0" w:color="auto"/>
        <w:left w:val="none" w:sz="0" w:space="0" w:color="auto"/>
        <w:bottom w:val="none" w:sz="0" w:space="0" w:color="auto"/>
        <w:right w:val="none" w:sz="0" w:space="0" w:color="auto"/>
      </w:divBdr>
    </w:div>
    <w:div w:id="1676495119">
      <w:bodyDiv w:val="1"/>
      <w:marLeft w:val="0"/>
      <w:marRight w:val="0"/>
      <w:marTop w:val="0"/>
      <w:marBottom w:val="0"/>
      <w:divBdr>
        <w:top w:val="none" w:sz="0" w:space="0" w:color="auto"/>
        <w:left w:val="none" w:sz="0" w:space="0" w:color="auto"/>
        <w:bottom w:val="none" w:sz="0" w:space="0" w:color="auto"/>
        <w:right w:val="none" w:sz="0" w:space="0" w:color="auto"/>
      </w:divBdr>
    </w:div>
    <w:div w:id="1678802771">
      <w:bodyDiv w:val="1"/>
      <w:marLeft w:val="0"/>
      <w:marRight w:val="0"/>
      <w:marTop w:val="0"/>
      <w:marBottom w:val="0"/>
      <w:divBdr>
        <w:top w:val="none" w:sz="0" w:space="0" w:color="auto"/>
        <w:left w:val="none" w:sz="0" w:space="0" w:color="auto"/>
        <w:bottom w:val="none" w:sz="0" w:space="0" w:color="auto"/>
        <w:right w:val="none" w:sz="0" w:space="0" w:color="auto"/>
      </w:divBdr>
    </w:div>
    <w:div w:id="1679036703">
      <w:bodyDiv w:val="1"/>
      <w:marLeft w:val="0"/>
      <w:marRight w:val="0"/>
      <w:marTop w:val="0"/>
      <w:marBottom w:val="0"/>
      <w:divBdr>
        <w:top w:val="none" w:sz="0" w:space="0" w:color="auto"/>
        <w:left w:val="none" w:sz="0" w:space="0" w:color="auto"/>
        <w:bottom w:val="none" w:sz="0" w:space="0" w:color="auto"/>
        <w:right w:val="none" w:sz="0" w:space="0" w:color="auto"/>
      </w:divBdr>
    </w:div>
    <w:div w:id="1680042579">
      <w:bodyDiv w:val="1"/>
      <w:marLeft w:val="0"/>
      <w:marRight w:val="0"/>
      <w:marTop w:val="0"/>
      <w:marBottom w:val="0"/>
      <w:divBdr>
        <w:top w:val="none" w:sz="0" w:space="0" w:color="auto"/>
        <w:left w:val="none" w:sz="0" w:space="0" w:color="auto"/>
        <w:bottom w:val="none" w:sz="0" w:space="0" w:color="auto"/>
        <w:right w:val="none" w:sz="0" w:space="0" w:color="auto"/>
      </w:divBdr>
    </w:div>
    <w:div w:id="1680887726">
      <w:bodyDiv w:val="1"/>
      <w:marLeft w:val="0"/>
      <w:marRight w:val="0"/>
      <w:marTop w:val="0"/>
      <w:marBottom w:val="0"/>
      <w:divBdr>
        <w:top w:val="none" w:sz="0" w:space="0" w:color="auto"/>
        <w:left w:val="none" w:sz="0" w:space="0" w:color="auto"/>
        <w:bottom w:val="none" w:sz="0" w:space="0" w:color="auto"/>
        <w:right w:val="none" w:sz="0" w:space="0" w:color="auto"/>
      </w:divBdr>
    </w:div>
    <w:div w:id="1681589512">
      <w:bodyDiv w:val="1"/>
      <w:marLeft w:val="0"/>
      <w:marRight w:val="0"/>
      <w:marTop w:val="0"/>
      <w:marBottom w:val="0"/>
      <w:divBdr>
        <w:top w:val="none" w:sz="0" w:space="0" w:color="auto"/>
        <w:left w:val="none" w:sz="0" w:space="0" w:color="auto"/>
        <w:bottom w:val="none" w:sz="0" w:space="0" w:color="auto"/>
        <w:right w:val="none" w:sz="0" w:space="0" w:color="auto"/>
      </w:divBdr>
    </w:div>
    <w:div w:id="1682704644">
      <w:bodyDiv w:val="1"/>
      <w:marLeft w:val="0"/>
      <w:marRight w:val="0"/>
      <w:marTop w:val="0"/>
      <w:marBottom w:val="0"/>
      <w:divBdr>
        <w:top w:val="none" w:sz="0" w:space="0" w:color="auto"/>
        <w:left w:val="none" w:sz="0" w:space="0" w:color="auto"/>
        <w:bottom w:val="none" w:sz="0" w:space="0" w:color="auto"/>
        <w:right w:val="none" w:sz="0" w:space="0" w:color="auto"/>
      </w:divBdr>
    </w:div>
    <w:div w:id="1690333538">
      <w:bodyDiv w:val="1"/>
      <w:marLeft w:val="0"/>
      <w:marRight w:val="0"/>
      <w:marTop w:val="0"/>
      <w:marBottom w:val="0"/>
      <w:divBdr>
        <w:top w:val="none" w:sz="0" w:space="0" w:color="auto"/>
        <w:left w:val="none" w:sz="0" w:space="0" w:color="auto"/>
        <w:bottom w:val="none" w:sz="0" w:space="0" w:color="auto"/>
        <w:right w:val="none" w:sz="0" w:space="0" w:color="auto"/>
      </w:divBdr>
    </w:div>
    <w:div w:id="1692729657">
      <w:bodyDiv w:val="1"/>
      <w:marLeft w:val="0"/>
      <w:marRight w:val="0"/>
      <w:marTop w:val="0"/>
      <w:marBottom w:val="0"/>
      <w:divBdr>
        <w:top w:val="none" w:sz="0" w:space="0" w:color="auto"/>
        <w:left w:val="none" w:sz="0" w:space="0" w:color="auto"/>
        <w:bottom w:val="none" w:sz="0" w:space="0" w:color="auto"/>
        <w:right w:val="none" w:sz="0" w:space="0" w:color="auto"/>
      </w:divBdr>
    </w:div>
    <w:div w:id="1696075601">
      <w:bodyDiv w:val="1"/>
      <w:marLeft w:val="0"/>
      <w:marRight w:val="0"/>
      <w:marTop w:val="0"/>
      <w:marBottom w:val="0"/>
      <w:divBdr>
        <w:top w:val="none" w:sz="0" w:space="0" w:color="auto"/>
        <w:left w:val="none" w:sz="0" w:space="0" w:color="auto"/>
        <w:bottom w:val="none" w:sz="0" w:space="0" w:color="auto"/>
        <w:right w:val="none" w:sz="0" w:space="0" w:color="auto"/>
      </w:divBdr>
    </w:div>
    <w:div w:id="1696271224">
      <w:bodyDiv w:val="1"/>
      <w:marLeft w:val="0"/>
      <w:marRight w:val="0"/>
      <w:marTop w:val="0"/>
      <w:marBottom w:val="0"/>
      <w:divBdr>
        <w:top w:val="none" w:sz="0" w:space="0" w:color="auto"/>
        <w:left w:val="none" w:sz="0" w:space="0" w:color="auto"/>
        <w:bottom w:val="none" w:sz="0" w:space="0" w:color="auto"/>
        <w:right w:val="none" w:sz="0" w:space="0" w:color="auto"/>
      </w:divBdr>
    </w:div>
    <w:div w:id="1696496783">
      <w:bodyDiv w:val="1"/>
      <w:marLeft w:val="0"/>
      <w:marRight w:val="0"/>
      <w:marTop w:val="0"/>
      <w:marBottom w:val="0"/>
      <w:divBdr>
        <w:top w:val="none" w:sz="0" w:space="0" w:color="auto"/>
        <w:left w:val="none" w:sz="0" w:space="0" w:color="auto"/>
        <w:bottom w:val="none" w:sz="0" w:space="0" w:color="auto"/>
        <w:right w:val="none" w:sz="0" w:space="0" w:color="auto"/>
      </w:divBdr>
    </w:div>
    <w:div w:id="1697851955">
      <w:bodyDiv w:val="1"/>
      <w:marLeft w:val="0"/>
      <w:marRight w:val="0"/>
      <w:marTop w:val="0"/>
      <w:marBottom w:val="0"/>
      <w:divBdr>
        <w:top w:val="none" w:sz="0" w:space="0" w:color="auto"/>
        <w:left w:val="none" w:sz="0" w:space="0" w:color="auto"/>
        <w:bottom w:val="none" w:sz="0" w:space="0" w:color="auto"/>
        <w:right w:val="none" w:sz="0" w:space="0" w:color="auto"/>
      </w:divBdr>
    </w:div>
    <w:div w:id="1697854382">
      <w:bodyDiv w:val="1"/>
      <w:marLeft w:val="0"/>
      <w:marRight w:val="0"/>
      <w:marTop w:val="0"/>
      <w:marBottom w:val="0"/>
      <w:divBdr>
        <w:top w:val="none" w:sz="0" w:space="0" w:color="auto"/>
        <w:left w:val="none" w:sz="0" w:space="0" w:color="auto"/>
        <w:bottom w:val="none" w:sz="0" w:space="0" w:color="auto"/>
        <w:right w:val="none" w:sz="0" w:space="0" w:color="auto"/>
      </w:divBdr>
    </w:div>
    <w:div w:id="1699818270">
      <w:bodyDiv w:val="1"/>
      <w:marLeft w:val="0"/>
      <w:marRight w:val="0"/>
      <w:marTop w:val="0"/>
      <w:marBottom w:val="0"/>
      <w:divBdr>
        <w:top w:val="none" w:sz="0" w:space="0" w:color="auto"/>
        <w:left w:val="none" w:sz="0" w:space="0" w:color="auto"/>
        <w:bottom w:val="none" w:sz="0" w:space="0" w:color="auto"/>
        <w:right w:val="none" w:sz="0" w:space="0" w:color="auto"/>
      </w:divBdr>
    </w:div>
    <w:div w:id="1700205141">
      <w:bodyDiv w:val="1"/>
      <w:marLeft w:val="0"/>
      <w:marRight w:val="0"/>
      <w:marTop w:val="0"/>
      <w:marBottom w:val="0"/>
      <w:divBdr>
        <w:top w:val="none" w:sz="0" w:space="0" w:color="auto"/>
        <w:left w:val="none" w:sz="0" w:space="0" w:color="auto"/>
        <w:bottom w:val="none" w:sz="0" w:space="0" w:color="auto"/>
        <w:right w:val="none" w:sz="0" w:space="0" w:color="auto"/>
      </w:divBdr>
    </w:div>
    <w:div w:id="1700544373">
      <w:bodyDiv w:val="1"/>
      <w:marLeft w:val="0"/>
      <w:marRight w:val="0"/>
      <w:marTop w:val="0"/>
      <w:marBottom w:val="0"/>
      <w:divBdr>
        <w:top w:val="none" w:sz="0" w:space="0" w:color="auto"/>
        <w:left w:val="none" w:sz="0" w:space="0" w:color="auto"/>
        <w:bottom w:val="none" w:sz="0" w:space="0" w:color="auto"/>
        <w:right w:val="none" w:sz="0" w:space="0" w:color="auto"/>
      </w:divBdr>
    </w:div>
    <w:div w:id="1700815368">
      <w:bodyDiv w:val="1"/>
      <w:marLeft w:val="0"/>
      <w:marRight w:val="0"/>
      <w:marTop w:val="0"/>
      <w:marBottom w:val="0"/>
      <w:divBdr>
        <w:top w:val="none" w:sz="0" w:space="0" w:color="auto"/>
        <w:left w:val="none" w:sz="0" w:space="0" w:color="auto"/>
        <w:bottom w:val="none" w:sz="0" w:space="0" w:color="auto"/>
        <w:right w:val="none" w:sz="0" w:space="0" w:color="auto"/>
      </w:divBdr>
    </w:div>
    <w:div w:id="1701937057">
      <w:bodyDiv w:val="1"/>
      <w:marLeft w:val="0"/>
      <w:marRight w:val="0"/>
      <w:marTop w:val="0"/>
      <w:marBottom w:val="0"/>
      <w:divBdr>
        <w:top w:val="none" w:sz="0" w:space="0" w:color="auto"/>
        <w:left w:val="none" w:sz="0" w:space="0" w:color="auto"/>
        <w:bottom w:val="none" w:sz="0" w:space="0" w:color="auto"/>
        <w:right w:val="none" w:sz="0" w:space="0" w:color="auto"/>
      </w:divBdr>
    </w:div>
    <w:div w:id="1706101048">
      <w:bodyDiv w:val="1"/>
      <w:marLeft w:val="0"/>
      <w:marRight w:val="0"/>
      <w:marTop w:val="0"/>
      <w:marBottom w:val="0"/>
      <w:divBdr>
        <w:top w:val="none" w:sz="0" w:space="0" w:color="auto"/>
        <w:left w:val="none" w:sz="0" w:space="0" w:color="auto"/>
        <w:bottom w:val="none" w:sz="0" w:space="0" w:color="auto"/>
        <w:right w:val="none" w:sz="0" w:space="0" w:color="auto"/>
      </w:divBdr>
    </w:div>
    <w:div w:id="1706561049">
      <w:bodyDiv w:val="1"/>
      <w:marLeft w:val="0"/>
      <w:marRight w:val="0"/>
      <w:marTop w:val="0"/>
      <w:marBottom w:val="0"/>
      <w:divBdr>
        <w:top w:val="none" w:sz="0" w:space="0" w:color="auto"/>
        <w:left w:val="none" w:sz="0" w:space="0" w:color="auto"/>
        <w:bottom w:val="none" w:sz="0" w:space="0" w:color="auto"/>
        <w:right w:val="none" w:sz="0" w:space="0" w:color="auto"/>
      </w:divBdr>
    </w:div>
    <w:div w:id="1708406306">
      <w:bodyDiv w:val="1"/>
      <w:marLeft w:val="0"/>
      <w:marRight w:val="0"/>
      <w:marTop w:val="0"/>
      <w:marBottom w:val="0"/>
      <w:divBdr>
        <w:top w:val="none" w:sz="0" w:space="0" w:color="auto"/>
        <w:left w:val="none" w:sz="0" w:space="0" w:color="auto"/>
        <w:bottom w:val="none" w:sz="0" w:space="0" w:color="auto"/>
        <w:right w:val="none" w:sz="0" w:space="0" w:color="auto"/>
      </w:divBdr>
    </w:div>
    <w:div w:id="1712875115">
      <w:bodyDiv w:val="1"/>
      <w:marLeft w:val="0"/>
      <w:marRight w:val="0"/>
      <w:marTop w:val="0"/>
      <w:marBottom w:val="0"/>
      <w:divBdr>
        <w:top w:val="none" w:sz="0" w:space="0" w:color="auto"/>
        <w:left w:val="none" w:sz="0" w:space="0" w:color="auto"/>
        <w:bottom w:val="none" w:sz="0" w:space="0" w:color="auto"/>
        <w:right w:val="none" w:sz="0" w:space="0" w:color="auto"/>
      </w:divBdr>
    </w:div>
    <w:div w:id="1712920150">
      <w:bodyDiv w:val="1"/>
      <w:marLeft w:val="0"/>
      <w:marRight w:val="0"/>
      <w:marTop w:val="0"/>
      <w:marBottom w:val="0"/>
      <w:divBdr>
        <w:top w:val="none" w:sz="0" w:space="0" w:color="auto"/>
        <w:left w:val="none" w:sz="0" w:space="0" w:color="auto"/>
        <w:bottom w:val="none" w:sz="0" w:space="0" w:color="auto"/>
        <w:right w:val="none" w:sz="0" w:space="0" w:color="auto"/>
      </w:divBdr>
    </w:div>
    <w:div w:id="1713071170">
      <w:bodyDiv w:val="1"/>
      <w:marLeft w:val="0"/>
      <w:marRight w:val="0"/>
      <w:marTop w:val="0"/>
      <w:marBottom w:val="0"/>
      <w:divBdr>
        <w:top w:val="none" w:sz="0" w:space="0" w:color="auto"/>
        <w:left w:val="none" w:sz="0" w:space="0" w:color="auto"/>
        <w:bottom w:val="none" w:sz="0" w:space="0" w:color="auto"/>
        <w:right w:val="none" w:sz="0" w:space="0" w:color="auto"/>
      </w:divBdr>
    </w:div>
    <w:div w:id="1715038162">
      <w:bodyDiv w:val="1"/>
      <w:marLeft w:val="0"/>
      <w:marRight w:val="0"/>
      <w:marTop w:val="0"/>
      <w:marBottom w:val="0"/>
      <w:divBdr>
        <w:top w:val="none" w:sz="0" w:space="0" w:color="auto"/>
        <w:left w:val="none" w:sz="0" w:space="0" w:color="auto"/>
        <w:bottom w:val="none" w:sz="0" w:space="0" w:color="auto"/>
        <w:right w:val="none" w:sz="0" w:space="0" w:color="auto"/>
      </w:divBdr>
    </w:div>
    <w:div w:id="1717048263">
      <w:bodyDiv w:val="1"/>
      <w:marLeft w:val="0"/>
      <w:marRight w:val="0"/>
      <w:marTop w:val="0"/>
      <w:marBottom w:val="0"/>
      <w:divBdr>
        <w:top w:val="none" w:sz="0" w:space="0" w:color="auto"/>
        <w:left w:val="none" w:sz="0" w:space="0" w:color="auto"/>
        <w:bottom w:val="none" w:sz="0" w:space="0" w:color="auto"/>
        <w:right w:val="none" w:sz="0" w:space="0" w:color="auto"/>
      </w:divBdr>
    </w:div>
    <w:div w:id="1721592253">
      <w:bodyDiv w:val="1"/>
      <w:marLeft w:val="0"/>
      <w:marRight w:val="0"/>
      <w:marTop w:val="0"/>
      <w:marBottom w:val="0"/>
      <w:divBdr>
        <w:top w:val="none" w:sz="0" w:space="0" w:color="auto"/>
        <w:left w:val="none" w:sz="0" w:space="0" w:color="auto"/>
        <w:bottom w:val="none" w:sz="0" w:space="0" w:color="auto"/>
        <w:right w:val="none" w:sz="0" w:space="0" w:color="auto"/>
      </w:divBdr>
    </w:div>
    <w:div w:id="1723359449">
      <w:bodyDiv w:val="1"/>
      <w:marLeft w:val="0"/>
      <w:marRight w:val="0"/>
      <w:marTop w:val="0"/>
      <w:marBottom w:val="0"/>
      <w:divBdr>
        <w:top w:val="none" w:sz="0" w:space="0" w:color="auto"/>
        <w:left w:val="none" w:sz="0" w:space="0" w:color="auto"/>
        <w:bottom w:val="none" w:sz="0" w:space="0" w:color="auto"/>
        <w:right w:val="none" w:sz="0" w:space="0" w:color="auto"/>
      </w:divBdr>
    </w:div>
    <w:div w:id="1724328116">
      <w:bodyDiv w:val="1"/>
      <w:marLeft w:val="0"/>
      <w:marRight w:val="0"/>
      <w:marTop w:val="0"/>
      <w:marBottom w:val="0"/>
      <w:divBdr>
        <w:top w:val="none" w:sz="0" w:space="0" w:color="auto"/>
        <w:left w:val="none" w:sz="0" w:space="0" w:color="auto"/>
        <w:bottom w:val="none" w:sz="0" w:space="0" w:color="auto"/>
        <w:right w:val="none" w:sz="0" w:space="0" w:color="auto"/>
      </w:divBdr>
    </w:div>
    <w:div w:id="1725104191">
      <w:bodyDiv w:val="1"/>
      <w:marLeft w:val="0"/>
      <w:marRight w:val="0"/>
      <w:marTop w:val="0"/>
      <w:marBottom w:val="0"/>
      <w:divBdr>
        <w:top w:val="none" w:sz="0" w:space="0" w:color="auto"/>
        <w:left w:val="none" w:sz="0" w:space="0" w:color="auto"/>
        <w:bottom w:val="none" w:sz="0" w:space="0" w:color="auto"/>
        <w:right w:val="none" w:sz="0" w:space="0" w:color="auto"/>
      </w:divBdr>
    </w:div>
    <w:div w:id="1725249515">
      <w:bodyDiv w:val="1"/>
      <w:marLeft w:val="0"/>
      <w:marRight w:val="0"/>
      <w:marTop w:val="0"/>
      <w:marBottom w:val="0"/>
      <w:divBdr>
        <w:top w:val="none" w:sz="0" w:space="0" w:color="auto"/>
        <w:left w:val="none" w:sz="0" w:space="0" w:color="auto"/>
        <w:bottom w:val="none" w:sz="0" w:space="0" w:color="auto"/>
        <w:right w:val="none" w:sz="0" w:space="0" w:color="auto"/>
      </w:divBdr>
    </w:div>
    <w:div w:id="1726950152">
      <w:bodyDiv w:val="1"/>
      <w:marLeft w:val="0"/>
      <w:marRight w:val="0"/>
      <w:marTop w:val="0"/>
      <w:marBottom w:val="0"/>
      <w:divBdr>
        <w:top w:val="none" w:sz="0" w:space="0" w:color="auto"/>
        <w:left w:val="none" w:sz="0" w:space="0" w:color="auto"/>
        <w:bottom w:val="none" w:sz="0" w:space="0" w:color="auto"/>
        <w:right w:val="none" w:sz="0" w:space="0" w:color="auto"/>
      </w:divBdr>
    </w:div>
    <w:div w:id="1727102270">
      <w:bodyDiv w:val="1"/>
      <w:marLeft w:val="0"/>
      <w:marRight w:val="0"/>
      <w:marTop w:val="0"/>
      <w:marBottom w:val="0"/>
      <w:divBdr>
        <w:top w:val="none" w:sz="0" w:space="0" w:color="auto"/>
        <w:left w:val="none" w:sz="0" w:space="0" w:color="auto"/>
        <w:bottom w:val="none" w:sz="0" w:space="0" w:color="auto"/>
        <w:right w:val="none" w:sz="0" w:space="0" w:color="auto"/>
      </w:divBdr>
    </w:div>
    <w:div w:id="1727681338">
      <w:bodyDiv w:val="1"/>
      <w:marLeft w:val="0"/>
      <w:marRight w:val="0"/>
      <w:marTop w:val="0"/>
      <w:marBottom w:val="0"/>
      <w:divBdr>
        <w:top w:val="none" w:sz="0" w:space="0" w:color="auto"/>
        <w:left w:val="none" w:sz="0" w:space="0" w:color="auto"/>
        <w:bottom w:val="none" w:sz="0" w:space="0" w:color="auto"/>
        <w:right w:val="none" w:sz="0" w:space="0" w:color="auto"/>
      </w:divBdr>
    </w:div>
    <w:div w:id="1733575303">
      <w:bodyDiv w:val="1"/>
      <w:marLeft w:val="0"/>
      <w:marRight w:val="0"/>
      <w:marTop w:val="0"/>
      <w:marBottom w:val="0"/>
      <w:divBdr>
        <w:top w:val="none" w:sz="0" w:space="0" w:color="auto"/>
        <w:left w:val="none" w:sz="0" w:space="0" w:color="auto"/>
        <w:bottom w:val="none" w:sz="0" w:space="0" w:color="auto"/>
        <w:right w:val="none" w:sz="0" w:space="0" w:color="auto"/>
      </w:divBdr>
    </w:div>
    <w:div w:id="1733696889">
      <w:bodyDiv w:val="1"/>
      <w:marLeft w:val="0"/>
      <w:marRight w:val="0"/>
      <w:marTop w:val="0"/>
      <w:marBottom w:val="0"/>
      <w:divBdr>
        <w:top w:val="none" w:sz="0" w:space="0" w:color="auto"/>
        <w:left w:val="none" w:sz="0" w:space="0" w:color="auto"/>
        <w:bottom w:val="none" w:sz="0" w:space="0" w:color="auto"/>
        <w:right w:val="none" w:sz="0" w:space="0" w:color="auto"/>
      </w:divBdr>
    </w:div>
    <w:div w:id="1734541430">
      <w:bodyDiv w:val="1"/>
      <w:marLeft w:val="0"/>
      <w:marRight w:val="0"/>
      <w:marTop w:val="0"/>
      <w:marBottom w:val="0"/>
      <w:divBdr>
        <w:top w:val="none" w:sz="0" w:space="0" w:color="auto"/>
        <w:left w:val="none" w:sz="0" w:space="0" w:color="auto"/>
        <w:bottom w:val="none" w:sz="0" w:space="0" w:color="auto"/>
        <w:right w:val="none" w:sz="0" w:space="0" w:color="auto"/>
      </w:divBdr>
    </w:div>
    <w:div w:id="1734739310">
      <w:bodyDiv w:val="1"/>
      <w:marLeft w:val="0"/>
      <w:marRight w:val="0"/>
      <w:marTop w:val="0"/>
      <w:marBottom w:val="0"/>
      <w:divBdr>
        <w:top w:val="none" w:sz="0" w:space="0" w:color="auto"/>
        <w:left w:val="none" w:sz="0" w:space="0" w:color="auto"/>
        <w:bottom w:val="none" w:sz="0" w:space="0" w:color="auto"/>
        <w:right w:val="none" w:sz="0" w:space="0" w:color="auto"/>
      </w:divBdr>
    </w:div>
    <w:div w:id="1737240989">
      <w:bodyDiv w:val="1"/>
      <w:marLeft w:val="0"/>
      <w:marRight w:val="0"/>
      <w:marTop w:val="0"/>
      <w:marBottom w:val="0"/>
      <w:divBdr>
        <w:top w:val="none" w:sz="0" w:space="0" w:color="auto"/>
        <w:left w:val="none" w:sz="0" w:space="0" w:color="auto"/>
        <w:bottom w:val="none" w:sz="0" w:space="0" w:color="auto"/>
        <w:right w:val="none" w:sz="0" w:space="0" w:color="auto"/>
      </w:divBdr>
    </w:div>
    <w:div w:id="1737780523">
      <w:bodyDiv w:val="1"/>
      <w:marLeft w:val="0"/>
      <w:marRight w:val="0"/>
      <w:marTop w:val="0"/>
      <w:marBottom w:val="0"/>
      <w:divBdr>
        <w:top w:val="none" w:sz="0" w:space="0" w:color="auto"/>
        <w:left w:val="none" w:sz="0" w:space="0" w:color="auto"/>
        <w:bottom w:val="none" w:sz="0" w:space="0" w:color="auto"/>
        <w:right w:val="none" w:sz="0" w:space="0" w:color="auto"/>
      </w:divBdr>
    </w:div>
    <w:div w:id="1738701227">
      <w:bodyDiv w:val="1"/>
      <w:marLeft w:val="0"/>
      <w:marRight w:val="0"/>
      <w:marTop w:val="0"/>
      <w:marBottom w:val="0"/>
      <w:divBdr>
        <w:top w:val="none" w:sz="0" w:space="0" w:color="auto"/>
        <w:left w:val="none" w:sz="0" w:space="0" w:color="auto"/>
        <w:bottom w:val="none" w:sz="0" w:space="0" w:color="auto"/>
        <w:right w:val="none" w:sz="0" w:space="0" w:color="auto"/>
      </w:divBdr>
    </w:div>
    <w:div w:id="1739085775">
      <w:bodyDiv w:val="1"/>
      <w:marLeft w:val="0"/>
      <w:marRight w:val="0"/>
      <w:marTop w:val="0"/>
      <w:marBottom w:val="0"/>
      <w:divBdr>
        <w:top w:val="none" w:sz="0" w:space="0" w:color="auto"/>
        <w:left w:val="none" w:sz="0" w:space="0" w:color="auto"/>
        <w:bottom w:val="none" w:sz="0" w:space="0" w:color="auto"/>
        <w:right w:val="none" w:sz="0" w:space="0" w:color="auto"/>
      </w:divBdr>
    </w:div>
    <w:div w:id="1740594783">
      <w:bodyDiv w:val="1"/>
      <w:marLeft w:val="0"/>
      <w:marRight w:val="0"/>
      <w:marTop w:val="0"/>
      <w:marBottom w:val="0"/>
      <w:divBdr>
        <w:top w:val="none" w:sz="0" w:space="0" w:color="auto"/>
        <w:left w:val="none" w:sz="0" w:space="0" w:color="auto"/>
        <w:bottom w:val="none" w:sz="0" w:space="0" w:color="auto"/>
        <w:right w:val="none" w:sz="0" w:space="0" w:color="auto"/>
      </w:divBdr>
    </w:div>
    <w:div w:id="1740714706">
      <w:bodyDiv w:val="1"/>
      <w:marLeft w:val="0"/>
      <w:marRight w:val="0"/>
      <w:marTop w:val="0"/>
      <w:marBottom w:val="0"/>
      <w:divBdr>
        <w:top w:val="none" w:sz="0" w:space="0" w:color="auto"/>
        <w:left w:val="none" w:sz="0" w:space="0" w:color="auto"/>
        <w:bottom w:val="none" w:sz="0" w:space="0" w:color="auto"/>
        <w:right w:val="none" w:sz="0" w:space="0" w:color="auto"/>
      </w:divBdr>
    </w:div>
    <w:div w:id="1744452624">
      <w:bodyDiv w:val="1"/>
      <w:marLeft w:val="0"/>
      <w:marRight w:val="0"/>
      <w:marTop w:val="0"/>
      <w:marBottom w:val="0"/>
      <w:divBdr>
        <w:top w:val="none" w:sz="0" w:space="0" w:color="auto"/>
        <w:left w:val="none" w:sz="0" w:space="0" w:color="auto"/>
        <w:bottom w:val="none" w:sz="0" w:space="0" w:color="auto"/>
        <w:right w:val="none" w:sz="0" w:space="0" w:color="auto"/>
      </w:divBdr>
    </w:div>
    <w:div w:id="1745639216">
      <w:bodyDiv w:val="1"/>
      <w:marLeft w:val="0"/>
      <w:marRight w:val="0"/>
      <w:marTop w:val="0"/>
      <w:marBottom w:val="0"/>
      <w:divBdr>
        <w:top w:val="none" w:sz="0" w:space="0" w:color="auto"/>
        <w:left w:val="none" w:sz="0" w:space="0" w:color="auto"/>
        <w:bottom w:val="none" w:sz="0" w:space="0" w:color="auto"/>
        <w:right w:val="none" w:sz="0" w:space="0" w:color="auto"/>
      </w:divBdr>
    </w:div>
    <w:div w:id="1746606785">
      <w:bodyDiv w:val="1"/>
      <w:marLeft w:val="0"/>
      <w:marRight w:val="0"/>
      <w:marTop w:val="0"/>
      <w:marBottom w:val="0"/>
      <w:divBdr>
        <w:top w:val="none" w:sz="0" w:space="0" w:color="auto"/>
        <w:left w:val="none" w:sz="0" w:space="0" w:color="auto"/>
        <w:bottom w:val="none" w:sz="0" w:space="0" w:color="auto"/>
        <w:right w:val="none" w:sz="0" w:space="0" w:color="auto"/>
      </w:divBdr>
    </w:div>
    <w:div w:id="1749303300">
      <w:bodyDiv w:val="1"/>
      <w:marLeft w:val="0"/>
      <w:marRight w:val="0"/>
      <w:marTop w:val="0"/>
      <w:marBottom w:val="0"/>
      <w:divBdr>
        <w:top w:val="none" w:sz="0" w:space="0" w:color="auto"/>
        <w:left w:val="none" w:sz="0" w:space="0" w:color="auto"/>
        <w:bottom w:val="none" w:sz="0" w:space="0" w:color="auto"/>
        <w:right w:val="none" w:sz="0" w:space="0" w:color="auto"/>
      </w:divBdr>
    </w:div>
    <w:div w:id="1749813918">
      <w:bodyDiv w:val="1"/>
      <w:marLeft w:val="0"/>
      <w:marRight w:val="0"/>
      <w:marTop w:val="0"/>
      <w:marBottom w:val="0"/>
      <w:divBdr>
        <w:top w:val="none" w:sz="0" w:space="0" w:color="auto"/>
        <w:left w:val="none" w:sz="0" w:space="0" w:color="auto"/>
        <w:bottom w:val="none" w:sz="0" w:space="0" w:color="auto"/>
        <w:right w:val="none" w:sz="0" w:space="0" w:color="auto"/>
      </w:divBdr>
    </w:div>
    <w:div w:id="1754163822">
      <w:bodyDiv w:val="1"/>
      <w:marLeft w:val="0"/>
      <w:marRight w:val="0"/>
      <w:marTop w:val="0"/>
      <w:marBottom w:val="0"/>
      <w:divBdr>
        <w:top w:val="none" w:sz="0" w:space="0" w:color="auto"/>
        <w:left w:val="none" w:sz="0" w:space="0" w:color="auto"/>
        <w:bottom w:val="none" w:sz="0" w:space="0" w:color="auto"/>
        <w:right w:val="none" w:sz="0" w:space="0" w:color="auto"/>
      </w:divBdr>
    </w:div>
    <w:div w:id="1756168370">
      <w:bodyDiv w:val="1"/>
      <w:marLeft w:val="0"/>
      <w:marRight w:val="0"/>
      <w:marTop w:val="0"/>
      <w:marBottom w:val="0"/>
      <w:divBdr>
        <w:top w:val="none" w:sz="0" w:space="0" w:color="auto"/>
        <w:left w:val="none" w:sz="0" w:space="0" w:color="auto"/>
        <w:bottom w:val="none" w:sz="0" w:space="0" w:color="auto"/>
        <w:right w:val="none" w:sz="0" w:space="0" w:color="auto"/>
      </w:divBdr>
    </w:div>
    <w:div w:id="1757247432">
      <w:bodyDiv w:val="1"/>
      <w:marLeft w:val="0"/>
      <w:marRight w:val="0"/>
      <w:marTop w:val="0"/>
      <w:marBottom w:val="0"/>
      <w:divBdr>
        <w:top w:val="none" w:sz="0" w:space="0" w:color="auto"/>
        <w:left w:val="none" w:sz="0" w:space="0" w:color="auto"/>
        <w:bottom w:val="none" w:sz="0" w:space="0" w:color="auto"/>
        <w:right w:val="none" w:sz="0" w:space="0" w:color="auto"/>
      </w:divBdr>
    </w:div>
    <w:div w:id="1757629258">
      <w:bodyDiv w:val="1"/>
      <w:marLeft w:val="0"/>
      <w:marRight w:val="0"/>
      <w:marTop w:val="0"/>
      <w:marBottom w:val="0"/>
      <w:divBdr>
        <w:top w:val="none" w:sz="0" w:space="0" w:color="auto"/>
        <w:left w:val="none" w:sz="0" w:space="0" w:color="auto"/>
        <w:bottom w:val="none" w:sz="0" w:space="0" w:color="auto"/>
        <w:right w:val="none" w:sz="0" w:space="0" w:color="auto"/>
      </w:divBdr>
    </w:div>
    <w:div w:id="1758863350">
      <w:bodyDiv w:val="1"/>
      <w:marLeft w:val="0"/>
      <w:marRight w:val="0"/>
      <w:marTop w:val="0"/>
      <w:marBottom w:val="0"/>
      <w:divBdr>
        <w:top w:val="none" w:sz="0" w:space="0" w:color="auto"/>
        <w:left w:val="none" w:sz="0" w:space="0" w:color="auto"/>
        <w:bottom w:val="none" w:sz="0" w:space="0" w:color="auto"/>
        <w:right w:val="none" w:sz="0" w:space="0" w:color="auto"/>
      </w:divBdr>
    </w:div>
    <w:div w:id="1763180766">
      <w:bodyDiv w:val="1"/>
      <w:marLeft w:val="0"/>
      <w:marRight w:val="0"/>
      <w:marTop w:val="0"/>
      <w:marBottom w:val="0"/>
      <w:divBdr>
        <w:top w:val="none" w:sz="0" w:space="0" w:color="auto"/>
        <w:left w:val="none" w:sz="0" w:space="0" w:color="auto"/>
        <w:bottom w:val="none" w:sz="0" w:space="0" w:color="auto"/>
        <w:right w:val="none" w:sz="0" w:space="0" w:color="auto"/>
      </w:divBdr>
    </w:div>
    <w:div w:id="1764103893">
      <w:bodyDiv w:val="1"/>
      <w:marLeft w:val="0"/>
      <w:marRight w:val="0"/>
      <w:marTop w:val="0"/>
      <w:marBottom w:val="0"/>
      <w:divBdr>
        <w:top w:val="none" w:sz="0" w:space="0" w:color="auto"/>
        <w:left w:val="none" w:sz="0" w:space="0" w:color="auto"/>
        <w:bottom w:val="none" w:sz="0" w:space="0" w:color="auto"/>
        <w:right w:val="none" w:sz="0" w:space="0" w:color="auto"/>
      </w:divBdr>
    </w:div>
    <w:div w:id="1764571516">
      <w:bodyDiv w:val="1"/>
      <w:marLeft w:val="0"/>
      <w:marRight w:val="0"/>
      <w:marTop w:val="0"/>
      <w:marBottom w:val="0"/>
      <w:divBdr>
        <w:top w:val="none" w:sz="0" w:space="0" w:color="auto"/>
        <w:left w:val="none" w:sz="0" w:space="0" w:color="auto"/>
        <w:bottom w:val="none" w:sz="0" w:space="0" w:color="auto"/>
        <w:right w:val="none" w:sz="0" w:space="0" w:color="auto"/>
      </w:divBdr>
    </w:div>
    <w:div w:id="1764838168">
      <w:bodyDiv w:val="1"/>
      <w:marLeft w:val="0"/>
      <w:marRight w:val="0"/>
      <w:marTop w:val="0"/>
      <w:marBottom w:val="0"/>
      <w:divBdr>
        <w:top w:val="none" w:sz="0" w:space="0" w:color="auto"/>
        <w:left w:val="none" w:sz="0" w:space="0" w:color="auto"/>
        <w:bottom w:val="none" w:sz="0" w:space="0" w:color="auto"/>
        <w:right w:val="none" w:sz="0" w:space="0" w:color="auto"/>
      </w:divBdr>
    </w:div>
    <w:div w:id="1765299916">
      <w:bodyDiv w:val="1"/>
      <w:marLeft w:val="0"/>
      <w:marRight w:val="0"/>
      <w:marTop w:val="0"/>
      <w:marBottom w:val="0"/>
      <w:divBdr>
        <w:top w:val="none" w:sz="0" w:space="0" w:color="auto"/>
        <w:left w:val="none" w:sz="0" w:space="0" w:color="auto"/>
        <w:bottom w:val="none" w:sz="0" w:space="0" w:color="auto"/>
        <w:right w:val="none" w:sz="0" w:space="0" w:color="auto"/>
      </w:divBdr>
    </w:div>
    <w:div w:id="1765540632">
      <w:bodyDiv w:val="1"/>
      <w:marLeft w:val="0"/>
      <w:marRight w:val="0"/>
      <w:marTop w:val="0"/>
      <w:marBottom w:val="0"/>
      <w:divBdr>
        <w:top w:val="none" w:sz="0" w:space="0" w:color="auto"/>
        <w:left w:val="none" w:sz="0" w:space="0" w:color="auto"/>
        <w:bottom w:val="none" w:sz="0" w:space="0" w:color="auto"/>
        <w:right w:val="none" w:sz="0" w:space="0" w:color="auto"/>
      </w:divBdr>
    </w:div>
    <w:div w:id="1766417783">
      <w:bodyDiv w:val="1"/>
      <w:marLeft w:val="0"/>
      <w:marRight w:val="0"/>
      <w:marTop w:val="0"/>
      <w:marBottom w:val="0"/>
      <w:divBdr>
        <w:top w:val="none" w:sz="0" w:space="0" w:color="auto"/>
        <w:left w:val="none" w:sz="0" w:space="0" w:color="auto"/>
        <w:bottom w:val="none" w:sz="0" w:space="0" w:color="auto"/>
        <w:right w:val="none" w:sz="0" w:space="0" w:color="auto"/>
      </w:divBdr>
    </w:div>
    <w:div w:id="1768310326">
      <w:bodyDiv w:val="1"/>
      <w:marLeft w:val="0"/>
      <w:marRight w:val="0"/>
      <w:marTop w:val="0"/>
      <w:marBottom w:val="0"/>
      <w:divBdr>
        <w:top w:val="none" w:sz="0" w:space="0" w:color="auto"/>
        <w:left w:val="none" w:sz="0" w:space="0" w:color="auto"/>
        <w:bottom w:val="none" w:sz="0" w:space="0" w:color="auto"/>
        <w:right w:val="none" w:sz="0" w:space="0" w:color="auto"/>
      </w:divBdr>
    </w:div>
    <w:div w:id="1769035597">
      <w:bodyDiv w:val="1"/>
      <w:marLeft w:val="0"/>
      <w:marRight w:val="0"/>
      <w:marTop w:val="0"/>
      <w:marBottom w:val="0"/>
      <w:divBdr>
        <w:top w:val="none" w:sz="0" w:space="0" w:color="auto"/>
        <w:left w:val="none" w:sz="0" w:space="0" w:color="auto"/>
        <w:bottom w:val="none" w:sz="0" w:space="0" w:color="auto"/>
        <w:right w:val="none" w:sz="0" w:space="0" w:color="auto"/>
      </w:divBdr>
    </w:div>
    <w:div w:id="1771388562">
      <w:bodyDiv w:val="1"/>
      <w:marLeft w:val="0"/>
      <w:marRight w:val="0"/>
      <w:marTop w:val="0"/>
      <w:marBottom w:val="0"/>
      <w:divBdr>
        <w:top w:val="none" w:sz="0" w:space="0" w:color="auto"/>
        <w:left w:val="none" w:sz="0" w:space="0" w:color="auto"/>
        <w:bottom w:val="none" w:sz="0" w:space="0" w:color="auto"/>
        <w:right w:val="none" w:sz="0" w:space="0" w:color="auto"/>
      </w:divBdr>
    </w:div>
    <w:div w:id="1773015531">
      <w:bodyDiv w:val="1"/>
      <w:marLeft w:val="0"/>
      <w:marRight w:val="0"/>
      <w:marTop w:val="0"/>
      <w:marBottom w:val="0"/>
      <w:divBdr>
        <w:top w:val="none" w:sz="0" w:space="0" w:color="auto"/>
        <w:left w:val="none" w:sz="0" w:space="0" w:color="auto"/>
        <w:bottom w:val="none" w:sz="0" w:space="0" w:color="auto"/>
        <w:right w:val="none" w:sz="0" w:space="0" w:color="auto"/>
      </w:divBdr>
    </w:div>
    <w:div w:id="1773627584">
      <w:bodyDiv w:val="1"/>
      <w:marLeft w:val="0"/>
      <w:marRight w:val="0"/>
      <w:marTop w:val="0"/>
      <w:marBottom w:val="0"/>
      <w:divBdr>
        <w:top w:val="none" w:sz="0" w:space="0" w:color="auto"/>
        <w:left w:val="none" w:sz="0" w:space="0" w:color="auto"/>
        <w:bottom w:val="none" w:sz="0" w:space="0" w:color="auto"/>
        <w:right w:val="none" w:sz="0" w:space="0" w:color="auto"/>
      </w:divBdr>
    </w:div>
    <w:div w:id="1773814420">
      <w:bodyDiv w:val="1"/>
      <w:marLeft w:val="0"/>
      <w:marRight w:val="0"/>
      <w:marTop w:val="0"/>
      <w:marBottom w:val="0"/>
      <w:divBdr>
        <w:top w:val="none" w:sz="0" w:space="0" w:color="auto"/>
        <w:left w:val="none" w:sz="0" w:space="0" w:color="auto"/>
        <w:bottom w:val="none" w:sz="0" w:space="0" w:color="auto"/>
        <w:right w:val="none" w:sz="0" w:space="0" w:color="auto"/>
      </w:divBdr>
    </w:div>
    <w:div w:id="1774665134">
      <w:bodyDiv w:val="1"/>
      <w:marLeft w:val="0"/>
      <w:marRight w:val="0"/>
      <w:marTop w:val="0"/>
      <w:marBottom w:val="0"/>
      <w:divBdr>
        <w:top w:val="none" w:sz="0" w:space="0" w:color="auto"/>
        <w:left w:val="none" w:sz="0" w:space="0" w:color="auto"/>
        <w:bottom w:val="none" w:sz="0" w:space="0" w:color="auto"/>
        <w:right w:val="none" w:sz="0" w:space="0" w:color="auto"/>
      </w:divBdr>
    </w:div>
    <w:div w:id="1776368728">
      <w:bodyDiv w:val="1"/>
      <w:marLeft w:val="0"/>
      <w:marRight w:val="0"/>
      <w:marTop w:val="0"/>
      <w:marBottom w:val="0"/>
      <w:divBdr>
        <w:top w:val="none" w:sz="0" w:space="0" w:color="auto"/>
        <w:left w:val="none" w:sz="0" w:space="0" w:color="auto"/>
        <w:bottom w:val="none" w:sz="0" w:space="0" w:color="auto"/>
        <w:right w:val="none" w:sz="0" w:space="0" w:color="auto"/>
      </w:divBdr>
    </w:div>
    <w:div w:id="1778526200">
      <w:bodyDiv w:val="1"/>
      <w:marLeft w:val="0"/>
      <w:marRight w:val="0"/>
      <w:marTop w:val="0"/>
      <w:marBottom w:val="0"/>
      <w:divBdr>
        <w:top w:val="none" w:sz="0" w:space="0" w:color="auto"/>
        <w:left w:val="none" w:sz="0" w:space="0" w:color="auto"/>
        <w:bottom w:val="none" w:sz="0" w:space="0" w:color="auto"/>
        <w:right w:val="none" w:sz="0" w:space="0" w:color="auto"/>
      </w:divBdr>
    </w:div>
    <w:div w:id="1780485129">
      <w:bodyDiv w:val="1"/>
      <w:marLeft w:val="0"/>
      <w:marRight w:val="0"/>
      <w:marTop w:val="0"/>
      <w:marBottom w:val="0"/>
      <w:divBdr>
        <w:top w:val="none" w:sz="0" w:space="0" w:color="auto"/>
        <w:left w:val="none" w:sz="0" w:space="0" w:color="auto"/>
        <w:bottom w:val="none" w:sz="0" w:space="0" w:color="auto"/>
        <w:right w:val="none" w:sz="0" w:space="0" w:color="auto"/>
      </w:divBdr>
    </w:div>
    <w:div w:id="1781607461">
      <w:bodyDiv w:val="1"/>
      <w:marLeft w:val="0"/>
      <w:marRight w:val="0"/>
      <w:marTop w:val="0"/>
      <w:marBottom w:val="0"/>
      <w:divBdr>
        <w:top w:val="none" w:sz="0" w:space="0" w:color="auto"/>
        <w:left w:val="none" w:sz="0" w:space="0" w:color="auto"/>
        <w:bottom w:val="none" w:sz="0" w:space="0" w:color="auto"/>
        <w:right w:val="none" w:sz="0" w:space="0" w:color="auto"/>
      </w:divBdr>
    </w:div>
    <w:div w:id="1781798759">
      <w:bodyDiv w:val="1"/>
      <w:marLeft w:val="0"/>
      <w:marRight w:val="0"/>
      <w:marTop w:val="0"/>
      <w:marBottom w:val="0"/>
      <w:divBdr>
        <w:top w:val="none" w:sz="0" w:space="0" w:color="auto"/>
        <w:left w:val="none" w:sz="0" w:space="0" w:color="auto"/>
        <w:bottom w:val="none" w:sz="0" w:space="0" w:color="auto"/>
        <w:right w:val="none" w:sz="0" w:space="0" w:color="auto"/>
      </w:divBdr>
    </w:div>
    <w:div w:id="1782451357">
      <w:bodyDiv w:val="1"/>
      <w:marLeft w:val="0"/>
      <w:marRight w:val="0"/>
      <w:marTop w:val="0"/>
      <w:marBottom w:val="0"/>
      <w:divBdr>
        <w:top w:val="none" w:sz="0" w:space="0" w:color="auto"/>
        <w:left w:val="none" w:sz="0" w:space="0" w:color="auto"/>
        <w:bottom w:val="none" w:sz="0" w:space="0" w:color="auto"/>
        <w:right w:val="none" w:sz="0" w:space="0" w:color="auto"/>
      </w:divBdr>
    </w:div>
    <w:div w:id="1782527504">
      <w:bodyDiv w:val="1"/>
      <w:marLeft w:val="0"/>
      <w:marRight w:val="0"/>
      <w:marTop w:val="0"/>
      <w:marBottom w:val="0"/>
      <w:divBdr>
        <w:top w:val="none" w:sz="0" w:space="0" w:color="auto"/>
        <w:left w:val="none" w:sz="0" w:space="0" w:color="auto"/>
        <w:bottom w:val="none" w:sz="0" w:space="0" w:color="auto"/>
        <w:right w:val="none" w:sz="0" w:space="0" w:color="auto"/>
      </w:divBdr>
    </w:div>
    <w:div w:id="1788308353">
      <w:bodyDiv w:val="1"/>
      <w:marLeft w:val="0"/>
      <w:marRight w:val="0"/>
      <w:marTop w:val="0"/>
      <w:marBottom w:val="0"/>
      <w:divBdr>
        <w:top w:val="none" w:sz="0" w:space="0" w:color="auto"/>
        <w:left w:val="none" w:sz="0" w:space="0" w:color="auto"/>
        <w:bottom w:val="none" w:sz="0" w:space="0" w:color="auto"/>
        <w:right w:val="none" w:sz="0" w:space="0" w:color="auto"/>
      </w:divBdr>
    </w:div>
    <w:div w:id="1788740304">
      <w:bodyDiv w:val="1"/>
      <w:marLeft w:val="0"/>
      <w:marRight w:val="0"/>
      <w:marTop w:val="0"/>
      <w:marBottom w:val="0"/>
      <w:divBdr>
        <w:top w:val="none" w:sz="0" w:space="0" w:color="auto"/>
        <w:left w:val="none" w:sz="0" w:space="0" w:color="auto"/>
        <w:bottom w:val="none" w:sz="0" w:space="0" w:color="auto"/>
        <w:right w:val="none" w:sz="0" w:space="0" w:color="auto"/>
      </w:divBdr>
    </w:div>
    <w:div w:id="1789353958">
      <w:bodyDiv w:val="1"/>
      <w:marLeft w:val="0"/>
      <w:marRight w:val="0"/>
      <w:marTop w:val="0"/>
      <w:marBottom w:val="0"/>
      <w:divBdr>
        <w:top w:val="none" w:sz="0" w:space="0" w:color="auto"/>
        <w:left w:val="none" w:sz="0" w:space="0" w:color="auto"/>
        <w:bottom w:val="none" w:sz="0" w:space="0" w:color="auto"/>
        <w:right w:val="none" w:sz="0" w:space="0" w:color="auto"/>
      </w:divBdr>
    </w:div>
    <w:div w:id="1793789735">
      <w:bodyDiv w:val="1"/>
      <w:marLeft w:val="0"/>
      <w:marRight w:val="0"/>
      <w:marTop w:val="0"/>
      <w:marBottom w:val="0"/>
      <w:divBdr>
        <w:top w:val="none" w:sz="0" w:space="0" w:color="auto"/>
        <w:left w:val="none" w:sz="0" w:space="0" w:color="auto"/>
        <w:bottom w:val="none" w:sz="0" w:space="0" w:color="auto"/>
        <w:right w:val="none" w:sz="0" w:space="0" w:color="auto"/>
      </w:divBdr>
    </w:div>
    <w:div w:id="1793864577">
      <w:bodyDiv w:val="1"/>
      <w:marLeft w:val="0"/>
      <w:marRight w:val="0"/>
      <w:marTop w:val="0"/>
      <w:marBottom w:val="0"/>
      <w:divBdr>
        <w:top w:val="none" w:sz="0" w:space="0" w:color="auto"/>
        <w:left w:val="none" w:sz="0" w:space="0" w:color="auto"/>
        <w:bottom w:val="none" w:sz="0" w:space="0" w:color="auto"/>
        <w:right w:val="none" w:sz="0" w:space="0" w:color="auto"/>
      </w:divBdr>
    </w:div>
    <w:div w:id="1797024096">
      <w:bodyDiv w:val="1"/>
      <w:marLeft w:val="0"/>
      <w:marRight w:val="0"/>
      <w:marTop w:val="0"/>
      <w:marBottom w:val="0"/>
      <w:divBdr>
        <w:top w:val="none" w:sz="0" w:space="0" w:color="auto"/>
        <w:left w:val="none" w:sz="0" w:space="0" w:color="auto"/>
        <w:bottom w:val="none" w:sz="0" w:space="0" w:color="auto"/>
        <w:right w:val="none" w:sz="0" w:space="0" w:color="auto"/>
      </w:divBdr>
    </w:div>
    <w:div w:id="1797407495">
      <w:bodyDiv w:val="1"/>
      <w:marLeft w:val="0"/>
      <w:marRight w:val="0"/>
      <w:marTop w:val="0"/>
      <w:marBottom w:val="0"/>
      <w:divBdr>
        <w:top w:val="none" w:sz="0" w:space="0" w:color="auto"/>
        <w:left w:val="none" w:sz="0" w:space="0" w:color="auto"/>
        <w:bottom w:val="none" w:sz="0" w:space="0" w:color="auto"/>
        <w:right w:val="none" w:sz="0" w:space="0" w:color="auto"/>
      </w:divBdr>
    </w:div>
    <w:div w:id="1797481327">
      <w:bodyDiv w:val="1"/>
      <w:marLeft w:val="0"/>
      <w:marRight w:val="0"/>
      <w:marTop w:val="0"/>
      <w:marBottom w:val="0"/>
      <w:divBdr>
        <w:top w:val="none" w:sz="0" w:space="0" w:color="auto"/>
        <w:left w:val="none" w:sz="0" w:space="0" w:color="auto"/>
        <w:bottom w:val="none" w:sz="0" w:space="0" w:color="auto"/>
        <w:right w:val="none" w:sz="0" w:space="0" w:color="auto"/>
      </w:divBdr>
    </w:div>
    <w:div w:id="1799450410">
      <w:bodyDiv w:val="1"/>
      <w:marLeft w:val="0"/>
      <w:marRight w:val="0"/>
      <w:marTop w:val="0"/>
      <w:marBottom w:val="0"/>
      <w:divBdr>
        <w:top w:val="none" w:sz="0" w:space="0" w:color="auto"/>
        <w:left w:val="none" w:sz="0" w:space="0" w:color="auto"/>
        <w:bottom w:val="none" w:sz="0" w:space="0" w:color="auto"/>
        <w:right w:val="none" w:sz="0" w:space="0" w:color="auto"/>
      </w:divBdr>
    </w:div>
    <w:div w:id="1800298655">
      <w:bodyDiv w:val="1"/>
      <w:marLeft w:val="0"/>
      <w:marRight w:val="0"/>
      <w:marTop w:val="0"/>
      <w:marBottom w:val="0"/>
      <w:divBdr>
        <w:top w:val="none" w:sz="0" w:space="0" w:color="auto"/>
        <w:left w:val="none" w:sz="0" w:space="0" w:color="auto"/>
        <w:bottom w:val="none" w:sz="0" w:space="0" w:color="auto"/>
        <w:right w:val="none" w:sz="0" w:space="0" w:color="auto"/>
      </w:divBdr>
    </w:div>
    <w:div w:id="1800689155">
      <w:bodyDiv w:val="1"/>
      <w:marLeft w:val="0"/>
      <w:marRight w:val="0"/>
      <w:marTop w:val="0"/>
      <w:marBottom w:val="0"/>
      <w:divBdr>
        <w:top w:val="none" w:sz="0" w:space="0" w:color="auto"/>
        <w:left w:val="none" w:sz="0" w:space="0" w:color="auto"/>
        <w:bottom w:val="none" w:sz="0" w:space="0" w:color="auto"/>
        <w:right w:val="none" w:sz="0" w:space="0" w:color="auto"/>
      </w:divBdr>
    </w:div>
    <w:div w:id="1801222272">
      <w:bodyDiv w:val="1"/>
      <w:marLeft w:val="0"/>
      <w:marRight w:val="0"/>
      <w:marTop w:val="0"/>
      <w:marBottom w:val="0"/>
      <w:divBdr>
        <w:top w:val="none" w:sz="0" w:space="0" w:color="auto"/>
        <w:left w:val="none" w:sz="0" w:space="0" w:color="auto"/>
        <w:bottom w:val="none" w:sz="0" w:space="0" w:color="auto"/>
        <w:right w:val="none" w:sz="0" w:space="0" w:color="auto"/>
      </w:divBdr>
    </w:div>
    <w:div w:id="1801416192">
      <w:bodyDiv w:val="1"/>
      <w:marLeft w:val="0"/>
      <w:marRight w:val="0"/>
      <w:marTop w:val="0"/>
      <w:marBottom w:val="0"/>
      <w:divBdr>
        <w:top w:val="none" w:sz="0" w:space="0" w:color="auto"/>
        <w:left w:val="none" w:sz="0" w:space="0" w:color="auto"/>
        <w:bottom w:val="none" w:sz="0" w:space="0" w:color="auto"/>
        <w:right w:val="none" w:sz="0" w:space="0" w:color="auto"/>
      </w:divBdr>
    </w:div>
    <w:div w:id="1803494278">
      <w:bodyDiv w:val="1"/>
      <w:marLeft w:val="0"/>
      <w:marRight w:val="0"/>
      <w:marTop w:val="0"/>
      <w:marBottom w:val="0"/>
      <w:divBdr>
        <w:top w:val="none" w:sz="0" w:space="0" w:color="auto"/>
        <w:left w:val="none" w:sz="0" w:space="0" w:color="auto"/>
        <w:bottom w:val="none" w:sz="0" w:space="0" w:color="auto"/>
        <w:right w:val="none" w:sz="0" w:space="0" w:color="auto"/>
      </w:divBdr>
    </w:div>
    <w:div w:id="1805806756">
      <w:bodyDiv w:val="1"/>
      <w:marLeft w:val="0"/>
      <w:marRight w:val="0"/>
      <w:marTop w:val="0"/>
      <w:marBottom w:val="0"/>
      <w:divBdr>
        <w:top w:val="none" w:sz="0" w:space="0" w:color="auto"/>
        <w:left w:val="none" w:sz="0" w:space="0" w:color="auto"/>
        <w:bottom w:val="none" w:sz="0" w:space="0" w:color="auto"/>
        <w:right w:val="none" w:sz="0" w:space="0" w:color="auto"/>
      </w:divBdr>
    </w:div>
    <w:div w:id="1806192497">
      <w:bodyDiv w:val="1"/>
      <w:marLeft w:val="0"/>
      <w:marRight w:val="0"/>
      <w:marTop w:val="0"/>
      <w:marBottom w:val="0"/>
      <w:divBdr>
        <w:top w:val="none" w:sz="0" w:space="0" w:color="auto"/>
        <w:left w:val="none" w:sz="0" w:space="0" w:color="auto"/>
        <w:bottom w:val="none" w:sz="0" w:space="0" w:color="auto"/>
        <w:right w:val="none" w:sz="0" w:space="0" w:color="auto"/>
      </w:divBdr>
    </w:div>
    <w:div w:id="1806238411">
      <w:bodyDiv w:val="1"/>
      <w:marLeft w:val="0"/>
      <w:marRight w:val="0"/>
      <w:marTop w:val="0"/>
      <w:marBottom w:val="0"/>
      <w:divBdr>
        <w:top w:val="none" w:sz="0" w:space="0" w:color="auto"/>
        <w:left w:val="none" w:sz="0" w:space="0" w:color="auto"/>
        <w:bottom w:val="none" w:sz="0" w:space="0" w:color="auto"/>
        <w:right w:val="none" w:sz="0" w:space="0" w:color="auto"/>
      </w:divBdr>
    </w:div>
    <w:div w:id="1807044431">
      <w:bodyDiv w:val="1"/>
      <w:marLeft w:val="0"/>
      <w:marRight w:val="0"/>
      <w:marTop w:val="0"/>
      <w:marBottom w:val="0"/>
      <w:divBdr>
        <w:top w:val="none" w:sz="0" w:space="0" w:color="auto"/>
        <w:left w:val="none" w:sz="0" w:space="0" w:color="auto"/>
        <w:bottom w:val="none" w:sz="0" w:space="0" w:color="auto"/>
        <w:right w:val="none" w:sz="0" w:space="0" w:color="auto"/>
      </w:divBdr>
    </w:div>
    <w:div w:id="1810591489">
      <w:bodyDiv w:val="1"/>
      <w:marLeft w:val="0"/>
      <w:marRight w:val="0"/>
      <w:marTop w:val="0"/>
      <w:marBottom w:val="0"/>
      <w:divBdr>
        <w:top w:val="none" w:sz="0" w:space="0" w:color="auto"/>
        <w:left w:val="none" w:sz="0" w:space="0" w:color="auto"/>
        <w:bottom w:val="none" w:sz="0" w:space="0" w:color="auto"/>
        <w:right w:val="none" w:sz="0" w:space="0" w:color="auto"/>
      </w:divBdr>
    </w:div>
    <w:div w:id="1811246718">
      <w:bodyDiv w:val="1"/>
      <w:marLeft w:val="0"/>
      <w:marRight w:val="0"/>
      <w:marTop w:val="0"/>
      <w:marBottom w:val="0"/>
      <w:divBdr>
        <w:top w:val="none" w:sz="0" w:space="0" w:color="auto"/>
        <w:left w:val="none" w:sz="0" w:space="0" w:color="auto"/>
        <w:bottom w:val="none" w:sz="0" w:space="0" w:color="auto"/>
        <w:right w:val="none" w:sz="0" w:space="0" w:color="auto"/>
      </w:divBdr>
    </w:div>
    <w:div w:id="1812289921">
      <w:bodyDiv w:val="1"/>
      <w:marLeft w:val="0"/>
      <w:marRight w:val="0"/>
      <w:marTop w:val="0"/>
      <w:marBottom w:val="0"/>
      <w:divBdr>
        <w:top w:val="none" w:sz="0" w:space="0" w:color="auto"/>
        <w:left w:val="none" w:sz="0" w:space="0" w:color="auto"/>
        <w:bottom w:val="none" w:sz="0" w:space="0" w:color="auto"/>
        <w:right w:val="none" w:sz="0" w:space="0" w:color="auto"/>
      </w:divBdr>
    </w:div>
    <w:div w:id="1815831850">
      <w:bodyDiv w:val="1"/>
      <w:marLeft w:val="0"/>
      <w:marRight w:val="0"/>
      <w:marTop w:val="0"/>
      <w:marBottom w:val="0"/>
      <w:divBdr>
        <w:top w:val="none" w:sz="0" w:space="0" w:color="auto"/>
        <w:left w:val="none" w:sz="0" w:space="0" w:color="auto"/>
        <w:bottom w:val="none" w:sz="0" w:space="0" w:color="auto"/>
        <w:right w:val="none" w:sz="0" w:space="0" w:color="auto"/>
      </w:divBdr>
    </w:div>
    <w:div w:id="1818063243">
      <w:bodyDiv w:val="1"/>
      <w:marLeft w:val="0"/>
      <w:marRight w:val="0"/>
      <w:marTop w:val="0"/>
      <w:marBottom w:val="0"/>
      <w:divBdr>
        <w:top w:val="none" w:sz="0" w:space="0" w:color="auto"/>
        <w:left w:val="none" w:sz="0" w:space="0" w:color="auto"/>
        <w:bottom w:val="none" w:sz="0" w:space="0" w:color="auto"/>
        <w:right w:val="none" w:sz="0" w:space="0" w:color="auto"/>
      </w:divBdr>
    </w:div>
    <w:div w:id="1819300262">
      <w:bodyDiv w:val="1"/>
      <w:marLeft w:val="0"/>
      <w:marRight w:val="0"/>
      <w:marTop w:val="0"/>
      <w:marBottom w:val="0"/>
      <w:divBdr>
        <w:top w:val="none" w:sz="0" w:space="0" w:color="auto"/>
        <w:left w:val="none" w:sz="0" w:space="0" w:color="auto"/>
        <w:bottom w:val="none" w:sz="0" w:space="0" w:color="auto"/>
        <w:right w:val="none" w:sz="0" w:space="0" w:color="auto"/>
      </w:divBdr>
    </w:div>
    <w:div w:id="1820534978">
      <w:bodyDiv w:val="1"/>
      <w:marLeft w:val="0"/>
      <w:marRight w:val="0"/>
      <w:marTop w:val="0"/>
      <w:marBottom w:val="0"/>
      <w:divBdr>
        <w:top w:val="none" w:sz="0" w:space="0" w:color="auto"/>
        <w:left w:val="none" w:sz="0" w:space="0" w:color="auto"/>
        <w:bottom w:val="none" w:sz="0" w:space="0" w:color="auto"/>
        <w:right w:val="none" w:sz="0" w:space="0" w:color="auto"/>
      </w:divBdr>
    </w:div>
    <w:div w:id="1821188480">
      <w:bodyDiv w:val="1"/>
      <w:marLeft w:val="0"/>
      <w:marRight w:val="0"/>
      <w:marTop w:val="0"/>
      <w:marBottom w:val="0"/>
      <w:divBdr>
        <w:top w:val="none" w:sz="0" w:space="0" w:color="auto"/>
        <w:left w:val="none" w:sz="0" w:space="0" w:color="auto"/>
        <w:bottom w:val="none" w:sz="0" w:space="0" w:color="auto"/>
        <w:right w:val="none" w:sz="0" w:space="0" w:color="auto"/>
      </w:divBdr>
    </w:div>
    <w:div w:id="1822698977">
      <w:bodyDiv w:val="1"/>
      <w:marLeft w:val="0"/>
      <w:marRight w:val="0"/>
      <w:marTop w:val="0"/>
      <w:marBottom w:val="0"/>
      <w:divBdr>
        <w:top w:val="none" w:sz="0" w:space="0" w:color="auto"/>
        <w:left w:val="none" w:sz="0" w:space="0" w:color="auto"/>
        <w:bottom w:val="none" w:sz="0" w:space="0" w:color="auto"/>
        <w:right w:val="none" w:sz="0" w:space="0" w:color="auto"/>
      </w:divBdr>
    </w:div>
    <w:div w:id="1824807030">
      <w:bodyDiv w:val="1"/>
      <w:marLeft w:val="0"/>
      <w:marRight w:val="0"/>
      <w:marTop w:val="0"/>
      <w:marBottom w:val="0"/>
      <w:divBdr>
        <w:top w:val="none" w:sz="0" w:space="0" w:color="auto"/>
        <w:left w:val="none" w:sz="0" w:space="0" w:color="auto"/>
        <w:bottom w:val="none" w:sz="0" w:space="0" w:color="auto"/>
        <w:right w:val="none" w:sz="0" w:space="0" w:color="auto"/>
      </w:divBdr>
    </w:div>
    <w:div w:id="1825469617">
      <w:bodyDiv w:val="1"/>
      <w:marLeft w:val="0"/>
      <w:marRight w:val="0"/>
      <w:marTop w:val="0"/>
      <w:marBottom w:val="0"/>
      <w:divBdr>
        <w:top w:val="none" w:sz="0" w:space="0" w:color="auto"/>
        <w:left w:val="none" w:sz="0" w:space="0" w:color="auto"/>
        <w:bottom w:val="none" w:sz="0" w:space="0" w:color="auto"/>
        <w:right w:val="none" w:sz="0" w:space="0" w:color="auto"/>
      </w:divBdr>
    </w:div>
    <w:div w:id="1826319083">
      <w:bodyDiv w:val="1"/>
      <w:marLeft w:val="0"/>
      <w:marRight w:val="0"/>
      <w:marTop w:val="0"/>
      <w:marBottom w:val="0"/>
      <w:divBdr>
        <w:top w:val="none" w:sz="0" w:space="0" w:color="auto"/>
        <w:left w:val="none" w:sz="0" w:space="0" w:color="auto"/>
        <w:bottom w:val="none" w:sz="0" w:space="0" w:color="auto"/>
        <w:right w:val="none" w:sz="0" w:space="0" w:color="auto"/>
      </w:divBdr>
    </w:div>
    <w:div w:id="1827820833">
      <w:bodyDiv w:val="1"/>
      <w:marLeft w:val="0"/>
      <w:marRight w:val="0"/>
      <w:marTop w:val="0"/>
      <w:marBottom w:val="0"/>
      <w:divBdr>
        <w:top w:val="none" w:sz="0" w:space="0" w:color="auto"/>
        <w:left w:val="none" w:sz="0" w:space="0" w:color="auto"/>
        <w:bottom w:val="none" w:sz="0" w:space="0" w:color="auto"/>
        <w:right w:val="none" w:sz="0" w:space="0" w:color="auto"/>
      </w:divBdr>
    </w:div>
    <w:div w:id="1828856634">
      <w:bodyDiv w:val="1"/>
      <w:marLeft w:val="0"/>
      <w:marRight w:val="0"/>
      <w:marTop w:val="0"/>
      <w:marBottom w:val="0"/>
      <w:divBdr>
        <w:top w:val="none" w:sz="0" w:space="0" w:color="auto"/>
        <w:left w:val="none" w:sz="0" w:space="0" w:color="auto"/>
        <w:bottom w:val="none" w:sz="0" w:space="0" w:color="auto"/>
        <w:right w:val="none" w:sz="0" w:space="0" w:color="auto"/>
      </w:divBdr>
    </w:div>
    <w:div w:id="1830827071">
      <w:bodyDiv w:val="1"/>
      <w:marLeft w:val="0"/>
      <w:marRight w:val="0"/>
      <w:marTop w:val="0"/>
      <w:marBottom w:val="0"/>
      <w:divBdr>
        <w:top w:val="none" w:sz="0" w:space="0" w:color="auto"/>
        <w:left w:val="none" w:sz="0" w:space="0" w:color="auto"/>
        <w:bottom w:val="none" w:sz="0" w:space="0" w:color="auto"/>
        <w:right w:val="none" w:sz="0" w:space="0" w:color="auto"/>
      </w:divBdr>
    </w:div>
    <w:div w:id="1832598051">
      <w:bodyDiv w:val="1"/>
      <w:marLeft w:val="0"/>
      <w:marRight w:val="0"/>
      <w:marTop w:val="0"/>
      <w:marBottom w:val="0"/>
      <w:divBdr>
        <w:top w:val="none" w:sz="0" w:space="0" w:color="auto"/>
        <w:left w:val="none" w:sz="0" w:space="0" w:color="auto"/>
        <w:bottom w:val="none" w:sz="0" w:space="0" w:color="auto"/>
        <w:right w:val="none" w:sz="0" w:space="0" w:color="auto"/>
      </w:divBdr>
    </w:div>
    <w:div w:id="1833177510">
      <w:bodyDiv w:val="1"/>
      <w:marLeft w:val="0"/>
      <w:marRight w:val="0"/>
      <w:marTop w:val="0"/>
      <w:marBottom w:val="0"/>
      <w:divBdr>
        <w:top w:val="none" w:sz="0" w:space="0" w:color="auto"/>
        <w:left w:val="none" w:sz="0" w:space="0" w:color="auto"/>
        <w:bottom w:val="none" w:sz="0" w:space="0" w:color="auto"/>
        <w:right w:val="none" w:sz="0" w:space="0" w:color="auto"/>
      </w:divBdr>
    </w:div>
    <w:div w:id="1835872795">
      <w:bodyDiv w:val="1"/>
      <w:marLeft w:val="0"/>
      <w:marRight w:val="0"/>
      <w:marTop w:val="0"/>
      <w:marBottom w:val="0"/>
      <w:divBdr>
        <w:top w:val="none" w:sz="0" w:space="0" w:color="auto"/>
        <w:left w:val="none" w:sz="0" w:space="0" w:color="auto"/>
        <w:bottom w:val="none" w:sz="0" w:space="0" w:color="auto"/>
        <w:right w:val="none" w:sz="0" w:space="0" w:color="auto"/>
      </w:divBdr>
    </w:div>
    <w:div w:id="1837266377">
      <w:bodyDiv w:val="1"/>
      <w:marLeft w:val="0"/>
      <w:marRight w:val="0"/>
      <w:marTop w:val="0"/>
      <w:marBottom w:val="0"/>
      <w:divBdr>
        <w:top w:val="none" w:sz="0" w:space="0" w:color="auto"/>
        <w:left w:val="none" w:sz="0" w:space="0" w:color="auto"/>
        <w:bottom w:val="none" w:sz="0" w:space="0" w:color="auto"/>
        <w:right w:val="none" w:sz="0" w:space="0" w:color="auto"/>
      </w:divBdr>
    </w:div>
    <w:div w:id="1837502316">
      <w:bodyDiv w:val="1"/>
      <w:marLeft w:val="0"/>
      <w:marRight w:val="0"/>
      <w:marTop w:val="0"/>
      <w:marBottom w:val="0"/>
      <w:divBdr>
        <w:top w:val="none" w:sz="0" w:space="0" w:color="auto"/>
        <w:left w:val="none" w:sz="0" w:space="0" w:color="auto"/>
        <w:bottom w:val="none" w:sz="0" w:space="0" w:color="auto"/>
        <w:right w:val="none" w:sz="0" w:space="0" w:color="auto"/>
      </w:divBdr>
    </w:div>
    <w:div w:id="1838376551">
      <w:bodyDiv w:val="1"/>
      <w:marLeft w:val="0"/>
      <w:marRight w:val="0"/>
      <w:marTop w:val="0"/>
      <w:marBottom w:val="0"/>
      <w:divBdr>
        <w:top w:val="none" w:sz="0" w:space="0" w:color="auto"/>
        <w:left w:val="none" w:sz="0" w:space="0" w:color="auto"/>
        <w:bottom w:val="none" w:sz="0" w:space="0" w:color="auto"/>
        <w:right w:val="none" w:sz="0" w:space="0" w:color="auto"/>
      </w:divBdr>
    </w:div>
    <w:div w:id="1840998343">
      <w:bodyDiv w:val="1"/>
      <w:marLeft w:val="0"/>
      <w:marRight w:val="0"/>
      <w:marTop w:val="0"/>
      <w:marBottom w:val="0"/>
      <w:divBdr>
        <w:top w:val="none" w:sz="0" w:space="0" w:color="auto"/>
        <w:left w:val="none" w:sz="0" w:space="0" w:color="auto"/>
        <w:bottom w:val="none" w:sz="0" w:space="0" w:color="auto"/>
        <w:right w:val="none" w:sz="0" w:space="0" w:color="auto"/>
      </w:divBdr>
    </w:div>
    <w:div w:id="1841002218">
      <w:bodyDiv w:val="1"/>
      <w:marLeft w:val="0"/>
      <w:marRight w:val="0"/>
      <w:marTop w:val="0"/>
      <w:marBottom w:val="0"/>
      <w:divBdr>
        <w:top w:val="none" w:sz="0" w:space="0" w:color="auto"/>
        <w:left w:val="none" w:sz="0" w:space="0" w:color="auto"/>
        <w:bottom w:val="none" w:sz="0" w:space="0" w:color="auto"/>
        <w:right w:val="none" w:sz="0" w:space="0" w:color="auto"/>
      </w:divBdr>
    </w:div>
    <w:div w:id="1841307808">
      <w:bodyDiv w:val="1"/>
      <w:marLeft w:val="0"/>
      <w:marRight w:val="0"/>
      <w:marTop w:val="0"/>
      <w:marBottom w:val="0"/>
      <w:divBdr>
        <w:top w:val="none" w:sz="0" w:space="0" w:color="auto"/>
        <w:left w:val="none" w:sz="0" w:space="0" w:color="auto"/>
        <w:bottom w:val="none" w:sz="0" w:space="0" w:color="auto"/>
        <w:right w:val="none" w:sz="0" w:space="0" w:color="auto"/>
      </w:divBdr>
    </w:div>
    <w:div w:id="1843809837">
      <w:bodyDiv w:val="1"/>
      <w:marLeft w:val="0"/>
      <w:marRight w:val="0"/>
      <w:marTop w:val="0"/>
      <w:marBottom w:val="0"/>
      <w:divBdr>
        <w:top w:val="none" w:sz="0" w:space="0" w:color="auto"/>
        <w:left w:val="none" w:sz="0" w:space="0" w:color="auto"/>
        <w:bottom w:val="none" w:sz="0" w:space="0" w:color="auto"/>
        <w:right w:val="none" w:sz="0" w:space="0" w:color="auto"/>
      </w:divBdr>
    </w:div>
    <w:div w:id="1844542089">
      <w:bodyDiv w:val="1"/>
      <w:marLeft w:val="0"/>
      <w:marRight w:val="0"/>
      <w:marTop w:val="0"/>
      <w:marBottom w:val="0"/>
      <w:divBdr>
        <w:top w:val="none" w:sz="0" w:space="0" w:color="auto"/>
        <w:left w:val="none" w:sz="0" w:space="0" w:color="auto"/>
        <w:bottom w:val="none" w:sz="0" w:space="0" w:color="auto"/>
        <w:right w:val="none" w:sz="0" w:space="0" w:color="auto"/>
      </w:divBdr>
    </w:div>
    <w:div w:id="1846360671">
      <w:bodyDiv w:val="1"/>
      <w:marLeft w:val="0"/>
      <w:marRight w:val="0"/>
      <w:marTop w:val="0"/>
      <w:marBottom w:val="0"/>
      <w:divBdr>
        <w:top w:val="none" w:sz="0" w:space="0" w:color="auto"/>
        <w:left w:val="none" w:sz="0" w:space="0" w:color="auto"/>
        <w:bottom w:val="none" w:sz="0" w:space="0" w:color="auto"/>
        <w:right w:val="none" w:sz="0" w:space="0" w:color="auto"/>
      </w:divBdr>
    </w:div>
    <w:div w:id="1847862683">
      <w:bodyDiv w:val="1"/>
      <w:marLeft w:val="0"/>
      <w:marRight w:val="0"/>
      <w:marTop w:val="0"/>
      <w:marBottom w:val="0"/>
      <w:divBdr>
        <w:top w:val="none" w:sz="0" w:space="0" w:color="auto"/>
        <w:left w:val="none" w:sz="0" w:space="0" w:color="auto"/>
        <w:bottom w:val="none" w:sz="0" w:space="0" w:color="auto"/>
        <w:right w:val="none" w:sz="0" w:space="0" w:color="auto"/>
      </w:divBdr>
    </w:div>
    <w:div w:id="1848444369">
      <w:bodyDiv w:val="1"/>
      <w:marLeft w:val="0"/>
      <w:marRight w:val="0"/>
      <w:marTop w:val="0"/>
      <w:marBottom w:val="0"/>
      <w:divBdr>
        <w:top w:val="none" w:sz="0" w:space="0" w:color="auto"/>
        <w:left w:val="none" w:sz="0" w:space="0" w:color="auto"/>
        <w:bottom w:val="none" w:sz="0" w:space="0" w:color="auto"/>
        <w:right w:val="none" w:sz="0" w:space="0" w:color="auto"/>
      </w:divBdr>
    </w:div>
    <w:div w:id="1848903460">
      <w:bodyDiv w:val="1"/>
      <w:marLeft w:val="0"/>
      <w:marRight w:val="0"/>
      <w:marTop w:val="0"/>
      <w:marBottom w:val="0"/>
      <w:divBdr>
        <w:top w:val="none" w:sz="0" w:space="0" w:color="auto"/>
        <w:left w:val="none" w:sz="0" w:space="0" w:color="auto"/>
        <w:bottom w:val="none" w:sz="0" w:space="0" w:color="auto"/>
        <w:right w:val="none" w:sz="0" w:space="0" w:color="auto"/>
      </w:divBdr>
    </w:div>
    <w:div w:id="1851721252">
      <w:bodyDiv w:val="1"/>
      <w:marLeft w:val="0"/>
      <w:marRight w:val="0"/>
      <w:marTop w:val="0"/>
      <w:marBottom w:val="0"/>
      <w:divBdr>
        <w:top w:val="none" w:sz="0" w:space="0" w:color="auto"/>
        <w:left w:val="none" w:sz="0" w:space="0" w:color="auto"/>
        <w:bottom w:val="none" w:sz="0" w:space="0" w:color="auto"/>
        <w:right w:val="none" w:sz="0" w:space="0" w:color="auto"/>
      </w:divBdr>
    </w:div>
    <w:div w:id="1851721611">
      <w:bodyDiv w:val="1"/>
      <w:marLeft w:val="0"/>
      <w:marRight w:val="0"/>
      <w:marTop w:val="0"/>
      <w:marBottom w:val="0"/>
      <w:divBdr>
        <w:top w:val="none" w:sz="0" w:space="0" w:color="auto"/>
        <w:left w:val="none" w:sz="0" w:space="0" w:color="auto"/>
        <w:bottom w:val="none" w:sz="0" w:space="0" w:color="auto"/>
        <w:right w:val="none" w:sz="0" w:space="0" w:color="auto"/>
      </w:divBdr>
    </w:div>
    <w:div w:id="1852254306">
      <w:bodyDiv w:val="1"/>
      <w:marLeft w:val="0"/>
      <w:marRight w:val="0"/>
      <w:marTop w:val="0"/>
      <w:marBottom w:val="0"/>
      <w:divBdr>
        <w:top w:val="none" w:sz="0" w:space="0" w:color="auto"/>
        <w:left w:val="none" w:sz="0" w:space="0" w:color="auto"/>
        <w:bottom w:val="none" w:sz="0" w:space="0" w:color="auto"/>
        <w:right w:val="none" w:sz="0" w:space="0" w:color="auto"/>
      </w:divBdr>
    </w:div>
    <w:div w:id="1852331413">
      <w:bodyDiv w:val="1"/>
      <w:marLeft w:val="0"/>
      <w:marRight w:val="0"/>
      <w:marTop w:val="0"/>
      <w:marBottom w:val="0"/>
      <w:divBdr>
        <w:top w:val="none" w:sz="0" w:space="0" w:color="auto"/>
        <w:left w:val="none" w:sz="0" w:space="0" w:color="auto"/>
        <w:bottom w:val="none" w:sz="0" w:space="0" w:color="auto"/>
        <w:right w:val="none" w:sz="0" w:space="0" w:color="auto"/>
      </w:divBdr>
    </w:div>
    <w:div w:id="1852452980">
      <w:bodyDiv w:val="1"/>
      <w:marLeft w:val="0"/>
      <w:marRight w:val="0"/>
      <w:marTop w:val="0"/>
      <w:marBottom w:val="0"/>
      <w:divBdr>
        <w:top w:val="none" w:sz="0" w:space="0" w:color="auto"/>
        <w:left w:val="none" w:sz="0" w:space="0" w:color="auto"/>
        <w:bottom w:val="none" w:sz="0" w:space="0" w:color="auto"/>
        <w:right w:val="none" w:sz="0" w:space="0" w:color="auto"/>
      </w:divBdr>
    </w:div>
    <w:div w:id="1853833797">
      <w:bodyDiv w:val="1"/>
      <w:marLeft w:val="0"/>
      <w:marRight w:val="0"/>
      <w:marTop w:val="0"/>
      <w:marBottom w:val="0"/>
      <w:divBdr>
        <w:top w:val="none" w:sz="0" w:space="0" w:color="auto"/>
        <w:left w:val="none" w:sz="0" w:space="0" w:color="auto"/>
        <w:bottom w:val="none" w:sz="0" w:space="0" w:color="auto"/>
        <w:right w:val="none" w:sz="0" w:space="0" w:color="auto"/>
      </w:divBdr>
    </w:div>
    <w:div w:id="1856571616">
      <w:bodyDiv w:val="1"/>
      <w:marLeft w:val="0"/>
      <w:marRight w:val="0"/>
      <w:marTop w:val="0"/>
      <w:marBottom w:val="0"/>
      <w:divBdr>
        <w:top w:val="none" w:sz="0" w:space="0" w:color="auto"/>
        <w:left w:val="none" w:sz="0" w:space="0" w:color="auto"/>
        <w:bottom w:val="none" w:sz="0" w:space="0" w:color="auto"/>
        <w:right w:val="none" w:sz="0" w:space="0" w:color="auto"/>
      </w:divBdr>
    </w:div>
    <w:div w:id="1859660897">
      <w:bodyDiv w:val="1"/>
      <w:marLeft w:val="0"/>
      <w:marRight w:val="0"/>
      <w:marTop w:val="0"/>
      <w:marBottom w:val="0"/>
      <w:divBdr>
        <w:top w:val="none" w:sz="0" w:space="0" w:color="auto"/>
        <w:left w:val="none" w:sz="0" w:space="0" w:color="auto"/>
        <w:bottom w:val="none" w:sz="0" w:space="0" w:color="auto"/>
        <w:right w:val="none" w:sz="0" w:space="0" w:color="auto"/>
      </w:divBdr>
    </w:div>
    <w:div w:id="1866284565">
      <w:bodyDiv w:val="1"/>
      <w:marLeft w:val="0"/>
      <w:marRight w:val="0"/>
      <w:marTop w:val="0"/>
      <w:marBottom w:val="0"/>
      <w:divBdr>
        <w:top w:val="none" w:sz="0" w:space="0" w:color="auto"/>
        <w:left w:val="none" w:sz="0" w:space="0" w:color="auto"/>
        <w:bottom w:val="none" w:sz="0" w:space="0" w:color="auto"/>
        <w:right w:val="none" w:sz="0" w:space="0" w:color="auto"/>
      </w:divBdr>
    </w:div>
    <w:div w:id="1868372918">
      <w:bodyDiv w:val="1"/>
      <w:marLeft w:val="0"/>
      <w:marRight w:val="0"/>
      <w:marTop w:val="0"/>
      <w:marBottom w:val="0"/>
      <w:divBdr>
        <w:top w:val="none" w:sz="0" w:space="0" w:color="auto"/>
        <w:left w:val="none" w:sz="0" w:space="0" w:color="auto"/>
        <w:bottom w:val="none" w:sz="0" w:space="0" w:color="auto"/>
        <w:right w:val="none" w:sz="0" w:space="0" w:color="auto"/>
      </w:divBdr>
    </w:div>
    <w:div w:id="1869876180">
      <w:bodyDiv w:val="1"/>
      <w:marLeft w:val="0"/>
      <w:marRight w:val="0"/>
      <w:marTop w:val="0"/>
      <w:marBottom w:val="0"/>
      <w:divBdr>
        <w:top w:val="none" w:sz="0" w:space="0" w:color="auto"/>
        <w:left w:val="none" w:sz="0" w:space="0" w:color="auto"/>
        <w:bottom w:val="none" w:sz="0" w:space="0" w:color="auto"/>
        <w:right w:val="none" w:sz="0" w:space="0" w:color="auto"/>
      </w:divBdr>
    </w:div>
    <w:div w:id="1870558721">
      <w:bodyDiv w:val="1"/>
      <w:marLeft w:val="0"/>
      <w:marRight w:val="0"/>
      <w:marTop w:val="0"/>
      <w:marBottom w:val="0"/>
      <w:divBdr>
        <w:top w:val="none" w:sz="0" w:space="0" w:color="auto"/>
        <w:left w:val="none" w:sz="0" w:space="0" w:color="auto"/>
        <w:bottom w:val="none" w:sz="0" w:space="0" w:color="auto"/>
        <w:right w:val="none" w:sz="0" w:space="0" w:color="auto"/>
      </w:divBdr>
    </w:div>
    <w:div w:id="1871069670">
      <w:bodyDiv w:val="1"/>
      <w:marLeft w:val="0"/>
      <w:marRight w:val="0"/>
      <w:marTop w:val="0"/>
      <w:marBottom w:val="0"/>
      <w:divBdr>
        <w:top w:val="none" w:sz="0" w:space="0" w:color="auto"/>
        <w:left w:val="none" w:sz="0" w:space="0" w:color="auto"/>
        <w:bottom w:val="none" w:sz="0" w:space="0" w:color="auto"/>
        <w:right w:val="none" w:sz="0" w:space="0" w:color="auto"/>
      </w:divBdr>
    </w:div>
    <w:div w:id="1871529265">
      <w:bodyDiv w:val="1"/>
      <w:marLeft w:val="0"/>
      <w:marRight w:val="0"/>
      <w:marTop w:val="0"/>
      <w:marBottom w:val="0"/>
      <w:divBdr>
        <w:top w:val="none" w:sz="0" w:space="0" w:color="auto"/>
        <w:left w:val="none" w:sz="0" w:space="0" w:color="auto"/>
        <w:bottom w:val="none" w:sz="0" w:space="0" w:color="auto"/>
        <w:right w:val="none" w:sz="0" w:space="0" w:color="auto"/>
      </w:divBdr>
    </w:div>
    <w:div w:id="1871915615">
      <w:bodyDiv w:val="1"/>
      <w:marLeft w:val="0"/>
      <w:marRight w:val="0"/>
      <w:marTop w:val="0"/>
      <w:marBottom w:val="0"/>
      <w:divBdr>
        <w:top w:val="none" w:sz="0" w:space="0" w:color="auto"/>
        <w:left w:val="none" w:sz="0" w:space="0" w:color="auto"/>
        <w:bottom w:val="none" w:sz="0" w:space="0" w:color="auto"/>
        <w:right w:val="none" w:sz="0" w:space="0" w:color="auto"/>
      </w:divBdr>
    </w:div>
    <w:div w:id="1872760086">
      <w:bodyDiv w:val="1"/>
      <w:marLeft w:val="0"/>
      <w:marRight w:val="0"/>
      <w:marTop w:val="0"/>
      <w:marBottom w:val="0"/>
      <w:divBdr>
        <w:top w:val="none" w:sz="0" w:space="0" w:color="auto"/>
        <w:left w:val="none" w:sz="0" w:space="0" w:color="auto"/>
        <w:bottom w:val="none" w:sz="0" w:space="0" w:color="auto"/>
        <w:right w:val="none" w:sz="0" w:space="0" w:color="auto"/>
      </w:divBdr>
    </w:div>
    <w:div w:id="1872985323">
      <w:bodyDiv w:val="1"/>
      <w:marLeft w:val="0"/>
      <w:marRight w:val="0"/>
      <w:marTop w:val="0"/>
      <w:marBottom w:val="0"/>
      <w:divBdr>
        <w:top w:val="none" w:sz="0" w:space="0" w:color="auto"/>
        <w:left w:val="none" w:sz="0" w:space="0" w:color="auto"/>
        <w:bottom w:val="none" w:sz="0" w:space="0" w:color="auto"/>
        <w:right w:val="none" w:sz="0" w:space="0" w:color="auto"/>
      </w:divBdr>
    </w:div>
    <w:div w:id="1873760731">
      <w:bodyDiv w:val="1"/>
      <w:marLeft w:val="0"/>
      <w:marRight w:val="0"/>
      <w:marTop w:val="0"/>
      <w:marBottom w:val="0"/>
      <w:divBdr>
        <w:top w:val="none" w:sz="0" w:space="0" w:color="auto"/>
        <w:left w:val="none" w:sz="0" w:space="0" w:color="auto"/>
        <w:bottom w:val="none" w:sz="0" w:space="0" w:color="auto"/>
        <w:right w:val="none" w:sz="0" w:space="0" w:color="auto"/>
      </w:divBdr>
    </w:div>
    <w:div w:id="1874072443">
      <w:bodyDiv w:val="1"/>
      <w:marLeft w:val="0"/>
      <w:marRight w:val="0"/>
      <w:marTop w:val="0"/>
      <w:marBottom w:val="0"/>
      <w:divBdr>
        <w:top w:val="none" w:sz="0" w:space="0" w:color="auto"/>
        <w:left w:val="none" w:sz="0" w:space="0" w:color="auto"/>
        <w:bottom w:val="none" w:sz="0" w:space="0" w:color="auto"/>
        <w:right w:val="none" w:sz="0" w:space="0" w:color="auto"/>
      </w:divBdr>
    </w:div>
    <w:div w:id="1874341184">
      <w:bodyDiv w:val="1"/>
      <w:marLeft w:val="0"/>
      <w:marRight w:val="0"/>
      <w:marTop w:val="0"/>
      <w:marBottom w:val="0"/>
      <w:divBdr>
        <w:top w:val="none" w:sz="0" w:space="0" w:color="auto"/>
        <w:left w:val="none" w:sz="0" w:space="0" w:color="auto"/>
        <w:bottom w:val="none" w:sz="0" w:space="0" w:color="auto"/>
        <w:right w:val="none" w:sz="0" w:space="0" w:color="auto"/>
      </w:divBdr>
    </w:div>
    <w:div w:id="1874951817">
      <w:bodyDiv w:val="1"/>
      <w:marLeft w:val="0"/>
      <w:marRight w:val="0"/>
      <w:marTop w:val="0"/>
      <w:marBottom w:val="0"/>
      <w:divBdr>
        <w:top w:val="none" w:sz="0" w:space="0" w:color="auto"/>
        <w:left w:val="none" w:sz="0" w:space="0" w:color="auto"/>
        <w:bottom w:val="none" w:sz="0" w:space="0" w:color="auto"/>
        <w:right w:val="none" w:sz="0" w:space="0" w:color="auto"/>
      </w:divBdr>
    </w:div>
    <w:div w:id="1876195286">
      <w:bodyDiv w:val="1"/>
      <w:marLeft w:val="0"/>
      <w:marRight w:val="0"/>
      <w:marTop w:val="0"/>
      <w:marBottom w:val="0"/>
      <w:divBdr>
        <w:top w:val="none" w:sz="0" w:space="0" w:color="auto"/>
        <w:left w:val="none" w:sz="0" w:space="0" w:color="auto"/>
        <w:bottom w:val="none" w:sz="0" w:space="0" w:color="auto"/>
        <w:right w:val="none" w:sz="0" w:space="0" w:color="auto"/>
      </w:divBdr>
    </w:div>
    <w:div w:id="1876311940">
      <w:bodyDiv w:val="1"/>
      <w:marLeft w:val="0"/>
      <w:marRight w:val="0"/>
      <w:marTop w:val="0"/>
      <w:marBottom w:val="0"/>
      <w:divBdr>
        <w:top w:val="none" w:sz="0" w:space="0" w:color="auto"/>
        <w:left w:val="none" w:sz="0" w:space="0" w:color="auto"/>
        <w:bottom w:val="none" w:sz="0" w:space="0" w:color="auto"/>
        <w:right w:val="none" w:sz="0" w:space="0" w:color="auto"/>
      </w:divBdr>
    </w:div>
    <w:div w:id="1879389380">
      <w:bodyDiv w:val="1"/>
      <w:marLeft w:val="0"/>
      <w:marRight w:val="0"/>
      <w:marTop w:val="0"/>
      <w:marBottom w:val="0"/>
      <w:divBdr>
        <w:top w:val="none" w:sz="0" w:space="0" w:color="auto"/>
        <w:left w:val="none" w:sz="0" w:space="0" w:color="auto"/>
        <w:bottom w:val="none" w:sz="0" w:space="0" w:color="auto"/>
        <w:right w:val="none" w:sz="0" w:space="0" w:color="auto"/>
      </w:divBdr>
    </w:div>
    <w:div w:id="1879925144">
      <w:bodyDiv w:val="1"/>
      <w:marLeft w:val="0"/>
      <w:marRight w:val="0"/>
      <w:marTop w:val="0"/>
      <w:marBottom w:val="0"/>
      <w:divBdr>
        <w:top w:val="none" w:sz="0" w:space="0" w:color="auto"/>
        <w:left w:val="none" w:sz="0" w:space="0" w:color="auto"/>
        <w:bottom w:val="none" w:sz="0" w:space="0" w:color="auto"/>
        <w:right w:val="none" w:sz="0" w:space="0" w:color="auto"/>
      </w:divBdr>
    </w:div>
    <w:div w:id="1881016449">
      <w:bodyDiv w:val="1"/>
      <w:marLeft w:val="0"/>
      <w:marRight w:val="0"/>
      <w:marTop w:val="0"/>
      <w:marBottom w:val="0"/>
      <w:divBdr>
        <w:top w:val="none" w:sz="0" w:space="0" w:color="auto"/>
        <w:left w:val="none" w:sz="0" w:space="0" w:color="auto"/>
        <w:bottom w:val="none" w:sz="0" w:space="0" w:color="auto"/>
        <w:right w:val="none" w:sz="0" w:space="0" w:color="auto"/>
      </w:divBdr>
    </w:div>
    <w:div w:id="1882743245">
      <w:bodyDiv w:val="1"/>
      <w:marLeft w:val="0"/>
      <w:marRight w:val="0"/>
      <w:marTop w:val="0"/>
      <w:marBottom w:val="0"/>
      <w:divBdr>
        <w:top w:val="none" w:sz="0" w:space="0" w:color="auto"/>
        <w:left w:val="none" w:sz="0" w:space="0" w:color="auto"/>
        <w:bottom w:val="none" w:sz="0" w:space="0" w:color="auto"/>
        <w:right w:val="none" w:sz="0" w:space="0" w:color="auto"/>
      </w:divBdr>
      <w:divsChild>
        <w:div w:id="1996371690">
          <w:marLeft w:val="480"/>
          <w:marRight w:val="0"/>
          <w:marTop w:val="0"/>
          <w:marBottom w:val="0"/>
          <w:divBdr>
            <w:top w:val="none" w:sz="0" w:space="0" w:color="auto"/>
            <w:left w:val="none" w:sz="0" w:space="0" w:color="auto"/>
            <w:bottom w:val="none" w:sz="0" w:space="0" w:color="auto"/>
            <w:right w:val="none" w:sz="0" w:space="0" w:color="auto"/>
          </w:divBdr>
        </w:div>
        <w:div w:id="1427774462">
          <w:marLeft w:val="480"/>
          <w:marRight w:val="0"/>
          <w:marTop w:val="0"/>
          <w:marBottom w:val="0"/>
          <w:divBdr>
            <w:top w:val="none" w:sz="0" w:space="0" w:color="auto"/>
            <w:left w:val="none" w:sz="0" w:space="0" w:color="auto"/>
            <w:bottom w:val="none" w:sz="0" w:space="0" w:color="auto"/>
            <w:right w:val="none" w:sz="0" w:space="0" w:color="auto"/>
          </w:divBdr>
        </w:div>
        <w:div w:id="1789854512">
          <w:marLeft w:val="480"/>
          <w:marRight w:val="0"/>
          <w:marTop w:val="0"/>
          <w:marBottom w:val="0"/>
          <w:divBdr>
            <w:top w:val="none" w:sz="0" w:space="0" w:color="auto"/>
            <w:left w:val="none" w:sz="0" w:space="0" w:color="auto"/>
            <w:bottom w:val="none" w:sz="0" w:space="0" w:color="auto"/>
            <w:right w:val="none" w:sz="0" w:space="0" w:color="auto"/>
          </w:divBdr>
        </w:div>
        <w:div w:id="1182088515">
          <w:marLeft w:val="480"/>
          <w:marRight w:val="0"/>
          <w:marTop w:val="0"/>
          <w:marBottom w:val="0"/>
          <w:divBdr>
            <w:top w:val="none" w:sz="0" w:space="0" w:color="auto"/>
            <w:left w:val="none" w:sz="0" w:space="0" w:color="auto"/>
            <w:bottom w:val="none" w:sz="0" w:space="0" w:color="auto"/>
            <w:right w:val="none" w:sz="0" w:space="0" w:color="auto"/>
          </w:divBdr>
        </w:div>
        <w:div w:id="1150173482">
          <w:marLeft w:val="480"/>
          <w:marRight w:val="0"/>
          <w:marTop w:val="0"/>
          <w:marBottom w:val="0"/>
          <w:divBdr>
            <w:top w:val="none" w:sz="0" w:space="0" w:color="auto"/>
            <w:left w:val="none" w:sz="0" w:space="0" w:color="auto"/>
            <w:bottom w:val="none" w:sz="0" w:space="0" w:color="auto"/>
            <w:right w:val="none" w:sz="0" w:space="0" w:color="auto"/>
          </w:divBdr>
        </w:div>
        <w:div w:id="1965307008">
          <w:marLeft w:val="480"/>
          <w:marRight w:val="0"/>
          <w:marTop w:val="0"/>
          <w:marBottom w:val="0"/>
          <w:divBdr>
            <w:top w:val="none" w:sz="0" w:space="0" w:color="auto"/>
            <w:left w:val="none" w:sz="0" w:space="0" w:color="auto"/>
            <w:bottom w:val="none" w:sz="0" w:space="0" w:color="auto"/>
            <w:right w:val="none" w:sz="0" w:space="0" w:color="auto"/>
          </w:divBdr>
        </w:div>
        <w:div w:id="836070062">
          <w:marLeft w:val="480"/>
          <w:marRight w:val="0"/>
          <w:marTop w:val="0"/>
          <w:marBottom w:val="0"/>
          <w:divBdr>
            <w:top w:val="none" w:sz="0" w:space="0" w:color="auto"/>
            <w:left w:val="none" w:sz="0" w:space="0" w:color="auto"/>
            <w:bottom w:val="none" w:sz="0" w:space="0" w:color="auto"/>
            <w:right w:val="none" w:sz="0" w:space="0" w:color="auto"/>
          </w:divBdr>
        </w:div>
        <w:div w:id="890731106">
          <w:marLeft w:val="480"/>
          <w:marRight w:val="0"/>
          <w:marTop w:val="0"/>
          <w:marBottom w:val="0"/>
          <w:divBdr>
            <w:top w:val="none" w:sz="0" w:space="0" w:color="auto"/>
            <w:left w:val="none" w:sz="0" w:space="0" w:color="auto"/>
            <w:bottom w:val="none" w:sz="0" w:space="0" w:color="auto"/>
            <w:right w:val="none" w:sz="0" w:space="0" w:color="auto"/>
          </w:divBdr>
        </w:div>
        <w:div w:id="676419594">
          <w:marLeft w:val="480"/>
          <w:marRight w:val="0"/>
          <w:marTop w:val="0"/>
          <w:marBottom w:val="0"/>
          <w:divBdr>
            <w:top w:val="none" w:sz="0" w:space="0" w:color="auto"/>
            <w:left w:val="none" w:sz="0" w:space="0" w:color="auto"/>
            <w:bottom w:val="none" w:sz="0" w:space="0" w:color="auto"/>
            <w:right w:val="none" w:sz="0" w:space="0" w:color="auto"/>
          </w:divBdr>
        </w:div>
        <w:div w:id="153223361">
          <w:marLeft w:val="480"/>
          <w:marRight w:val="0"/>
          <w:marTop w:val="0"/>
          <w:marBottom w:val="0"/>
          <w:divBdr>
            <w:top w:val="none" w:sz="0" w:space="0" w:color="auto"/>
            <w:left w:val="none" w:sz="0" w:space="0" w:color="auto"/>
            <w:bottom w:val="none" w:sz="0" w:space="0" w:color="auto"/>
            <w:right w:val="none" w:sz="0" w:space="0" w:color="auto"/>
          </w:divBdr>
        </w:div>
        <w:div w:id="1733960696">
          <w:marLeft w:val="480"/>
          <w:marRight w:val="0"/>
          <w:marTop w:val="0"/>
          <w:marBottom w:val="0"/>
          <w:divBdr>
            <w:top w:val="none" w:sz="0" w:space="0" w:color="auto"/>
            <w:left w:val="none" w:sz="0" w:space="0" w:color="auto"/>
            <w:bottom w:val="none" w:sz="0" w:space="0" w:color="auto"/>
            <w:right w:val="none" w:sz="0" w:space="0" w:color="auto"/>
          </w:divBdr>
        </w:div>
        <w:div w:id="95561623">
          <w:marLeft w:val="480"/>
          <w:marRight w:val="0"/>
          <w:marTop w:val="0"/>
          <w:marBottom w:val="0"/>
          <w:divBdr>
            <w:top w:val="none" w:sz="0" w:space="0" w:color="auto"/>
            <w:left w:val="none" w:sz="0" w:space="0" w:color="auto"/>
            <w:bottom w:val="none" w:sz="0" w:space="0" w:color="auto"/>
            <w:right w:val="none" w:sz="0" w:space="0" w:color="auto"/>
          </w:divBdr>
        </w:div>
        <w:div w:id="1813331082">
          <w:marLeft w:val="480"/>
          <w:marRight w:val="0"/>
          <w:marTop w:val="0"/>
          <w:marBottom w:val="0"/>
          <w:divBdr>
            <w:top w:val="none" w:sz="0" w:space="0" w:color="auto"/>
            <w:left w:val="none" w:sz="0" w:space="0" w:color="auto"/>
            <w:bottom w:val="none" w:sz="0" w:space="0" w:color="auto"/>
            <w:right w:val="none" w:sz="0" w:space="0" w:color="auto"/>
          </w:divBdr>
        </w:div>
        <w:div w:id="224075317">
          <w:marLeft w:val="480"/>
          <w:marRight w:val="0"/>
          <w:marTop w:val="0"/>
          <w:marBottom w:val="0"/>
          <w:divBdr>
            <w:top w:val="none" w:sz="0" w:space="0" w:color="auto"/>
            <w:left w:val="none" w:sz="0" w:space="0" w:color="auto"/>
            <w:bottom w:val="none" w:sz="0" w:space="0" w:color="auto"/>
            <w:right w:val="none" w:sz="0" w:space="0" w:color="auto"/>
          </w:divBdr>
        </w:div>
        <w:div w:id="1434016098">
          <w:marLeft w:val="480"/>
          <w:marRight w:val="0"/>
          <w:marTop w:val="0"/>
          <w:marBottom w:val="0"/>
          <w:divBdr>
            <w:top w:val="none" w:sz="0" w:space="0" w:color="auto"/>
            <w:left w:val="none" w:sz="0" w:space="0" w:color="auto"/>
            <w:bottom w:val="none" w:sz="0" w:space="0" w:color="auto"/>
            <w:right w:val="none" w:sz="0" w:space="0" w:color="auto"/>
          </w:divBdr>
        </w:div>
        <w:div w:id="378479736">
          <w:marLeft w:val="480"/>
          <w:marRight w:val="0"/>
          <w:marTop w:val="0"/>
          <w:marBottom w:val="0"/>
          <w:divBdr>
            <w:top w:val="none" w:sz="0" w:space="0" w:color="auto"/>
            <w:left w:val="none" w:sz="0" w:space="0" w:color="auto"/>
            <w:bottom w:val="none" w:sz="0" w:space="0" w:color="auto"/>
            <w:right w:val="none" w:sz="0" w:space="0" w:color="auto"/>
          </w:divBdr>
        </w:div>
        <w:div w:id="332027173">
          <w:marLeft w:val="480"/>
          <w:marRight w:val="0"/>
          <w:marTop w:val="0"/>
          <w:marBottom w:val="0"/>
          <w:divBdr>
            <w:top w:val="none" w:sz="0" w:space="0" w:color="auto"/>
            <w:left w:val="none" w:sz="0" w:space="0" w:color="auto"/>
            <w:bottom w:val="none" w:sz="0" w:space="0" w:color="auto"/>
            <w:right w:val="none" w:sz="0" w:space="0" w:color="auto"/>
          </w:divBdr>
        </w:div>
        <w:div w:id="476147494">
          <w:marLeft w:val="480"/>
          <w:marRight w:val="0"/>
          <w:marTop w:val="0"/>
          <w:marBottom w:val="0"/>
          <w:divBdr>
            <w:top w:val="none" w:sz="0" w:space="0" w:color="auto"/>
            <w:left w:val="none" w:sz="0" w:space="0" w:color="auto"/>
            <w:bottom w:val="none" w:sz="0" w:space="0" w:color="auto"/>
            <w:right w:val="none" w:sz="0" w:space="0" w:color="auto"/>
          </w:divBdr>
        </w:div>
        <w:div w:id="1066953111">
          <w:marLeft w:val="480"/>
          <w:marRight w:val="0"/>
          <w:marTop w:val="0"/>
          <w:marBottom w:val="0"/>
          <w:divBdr>
            <w:top w:val="none" w:sz="0" w:space="0" w:color="auto"/>
            <w:left w:val="none" w:sz="0" w:space="0" w:color="auto"/>
            <w:bottom w:val="none" w:sz="0" w:space="0" w:color="auto"/>
            <w:right w:val="none" w:sz="0" w:space="0" w:color="auto"/>
          </w:divBdr>
        </w:div>
        <w:div w:id="1958559345">
          <w:marLeft w:val="480"/>
          <w:marRight w:val="0"/>
          <w:marTop w:val="0"/>
          <w:marBottom w:val="0"/>
          <w:divBdr>
            <w:top w:val="none" w:sz="0" w:space="0" w:color="auto"/>
            <w:left w:val="none" w:sz="0" w:space="0" w:color="auto"/>
            <w:bottom w:val="none" w:sz="0" w:space="0" w:color="auto"/>
            <w:right w:val="none" w:sz="0" w:space="0" w:color="auto"/>
          </w:divBdr>
        </w:div>
        <w:div w:id="332684557">
          <w:marLeft w:val="480"/>
          <w:marRight w:val="0"/>
          <w:marTop w:val="0"/>
          <w:marBottom w:val="0"/>
          <w:divBdr>
            <w:top w:val="none" w:sz="0" w:space="0" w:color="auto"/>
            <w:left w:val="none" w:sz="0" w:space="0" w:color="auto"/>
            <w:bottom w:val="none" w:sz="0" w:space="0" w:color="auto"/>
            <w:right w:val="none" w:sz="0" w:space="0" w:color="auto"/>
          </w:divBdr>
        </w:div>
        <w:div w:id="1471363772">
          <w:marLeft w:val="480"/>
          <w:marRight w:val="0"/>
          <w:marTop w:val="0"/>
          <w:marBottom w:val="0"/>
          <w:divBdr>
            <w:top w:val="none" w:sz="0" w:space="0" w:color="auto"/>
            <w:left w:val="none" w:sz="0" w:space="0" w:color="auto"/>
            <w:bottom w:val="none" w:sz="0" w:space="0" w:color="auto"/>
            <w:right w:val="none" w:sz="0" w:space="0" w:color="auto"/>
          </w:divBdr>
        </w:div>
        <w:div w:id="1542667108">
          <w:marLeft w:val="480"/>
          <w:marRight w:val="0"/>
          <w:marTop w:val="0"/>
          <w:marBottom w:val="0"/>
          <w:divBdr>
            <w:top w:val="none" w:sz="0" w:space="0" w:color="auto"/>
            <w:left w:val="none" w:sz="0" w:space="0" w:color="auto"/>
            <w:bottom w:val="none" w:sz="0" w:space="0" w:color="auto"/>
            <w:right w:val="none" w:sz="0" w:space="0" w:color="auto"/>
          </w:divBdr>
        </w:div>
        <w:div w:id="5711570">
          <w:marLeft w:val="480"/>
          <w:marRight w:val="0"/>
          <w:marTop w:val="0"/>
          <w:marBottom w:val="0"/>
          <w:divBdr>
            <w:top w:val="none" w:sz="0" w:space="0" w:color="auto"/>
            <w:left w:val="none" w:sz="0" w:space="0" w:color="auto"/>
            <w:bottom w:val="none" w:sz="0" w:space="0" w:color="auto"/>
            <w:right w:val="none" w:sz="0" w:space="0" w:color="auto"/>
          </w:divBdr>
        </w:div>
        <w:div w:id="1732340429">
          <w:marLeft w:val="480"/>
          <w:marRight w:val="0"/>
          <w:marTop w:val="0"/>
          <w:marBottom w:val="0"/>
          <w:divBdr>
            <w:top w:val="none" w:sz="0" w:space="0" w:color="auto"/>
            <w:left w:val="none" w:sz="0" w:space="0" w:color="auto"/>
            <w:bottom w:val="none" w:sz="0" w:space="0" w:color="auto"/>
            <w:right w:val="none" w:sz="0" w:space="0" w:color="auto"/>
          </w:divBdr>
        </w:div>
        <w:div w:id="1918319736">
          <w:marLeft w:val="480"/>
          <w:marRight w:val="0"/>
          <w:marTop w:val="0"/>
          <w:marBottom w:val="0"/>
          <w:divBdr>
            <w:top w:val="none" w:sz="0" w:space="0" w:color="auto"/>
            <w:left w:val="none" w:sz="0" w:space="0" w:color="auto"/>
            <w:bottom w:val="none" w:sz="0" w:space="0" w:color="auto"/>
            <w:right w:val="none" w:sz="0" w:space="0" w:color="auto"/>
          </w:divBdr>
        </w:div>
        <w:div w:id="1419788373">
          <w:marLeft w:val="480"/>
          <w:marRight w:val="0"/>
          <w:marTop w:val="0"/>
          <w:marBottom w:val="0"/>
          <w:divBdr>
            <w:top w:val="none" w:sz="0" w:space="0" w:color="auto"/>
            <w:left w:val="none" w:sz="0" w:space="0" w:color="auto"/>
            <w:bottom w:val="none" w:sz="0" w:space="0" w:color="auto"/>
            <w:right w:val="none" w:sz="0" w:space="0" w:color="auto"/>
          </w:divBdr>
        </w:div>
        <w:div w:id="529143420">
          <w:marLeft w:val="480"/>
          <w:marRight w:val="0"/>
          <w:marTop w:val="0"/>
          <w:marBottom w:val="0"/>
          <w:divBdr>
            <w:top w:val="none" w:sz="0" w:space="0" w:color="auto"/>
            <w:left w:val="none" w:sz="0" w:space="0" w:color="auto"/>
            <w:bottom w:val="none" w:sz="0" w:space="0" w:color="auto"/>
            <w:right w:val="none" w:sz="0" w:space="0" w:color="auto"/>
          </w:divBdr>
        </w:div>
        <w:div w:id="394083629">
          <w:marLeft w:val="480"/>
          <w:marRight w:val="0"/>
          <w:marTop w:val="0"/>
          <w:marBottom w:val="0"/>
          <w:divBdr>
            <w:top w:val="none" w:sz="0" w:space="0" w:color="auto"/>
            <w:left w:val="none" w:sz="0" w:space="0" w:color="auto"/>
            <w:bottom w:val="none" w:sz="0" w:space="0" w:color="auto"/>
            <w:right w:val="none" w:sz="0" w:space="0" w:color="auto"/>
          </w:divBdr>
        </w:div>
        <w:div w:id="295527406">
          <w:marLeft w:val="480"/>
          <w:marRight w:val="0"/>
          <w:marTop w:val="0"/>
          <w:marBottom w:val="0"/>
          <w:divBdr>
            <w:top w:val="none" w:sz="0" w:space="0" w:color="auto"/>
            <w:left w:val="none" w:sz="0" w:space="0" w:color="auto"/>
            <w:bottom w:val="none" w:sz="0" w:space="0" w:color="auto"/>
            <w:right w:val="none" w:sz="0" w:space="0" w:color="auto"/>
          </w:divBdr>
        </w:div>
        <w:div w:id="965886644">
          <w:marLeft w:val="480"/>
          <w:marRight w:val="0"/>
          <w:marTop w:val="0"/>
          <w:marBottom w:val="0"/>
          <w:divBdr>
            <w:top w:val="none" w:sz="0" w:space="0" w:color="auto"/>
            <w:left w:val="none" w:sz="0" w:space="0" w:color="auto"/>
            <w:bottom w:val="none" w:sz="0" w:space="0" w:color="auto"/>
            <w:right w:val="none" w:sz="0" w:space="0" w:color="auto"/>
          </w:divBdr>
        </w:div>
        <w:div w:id="399837645">
          <w:marLeft w:val="480"/>
          <w:marRight w:val="0"/>
          <w:marTop w:val="0"/>
          <w:marBottom w:val="0"/>
          <w:divBdr>
            <w:top w:val="none" w:sz="0" w:space="0" w:color="auto"/>
            <w:left w:val="none" w:sz="0" w:space="0" w:color="auto"/>
            <w:bottom w:val="none" w:sz="0" w:space="0" w:color="auto"/>
            <w:right w:val="none" w:sz="0" w:space="0" w:color="auto"/>
          </w:divBdr>
        </w:div>
        <w:div w:id="413862151">
          <w:marLeft w:val="480"/>
          <w:marRight w:val="0"/>
          <w:marTop w:val="0"/>
          <w:marBottom w:val="0"/>
          <w:divBdr>
            <w:top w:val="none" w:sz="0" w:space="0" w:color="auto"/>
            <w:left w:val="none" w:sz="0" w:space="0" w:color="auto"/>
            <w:bottom w:val="none" w:sz="0" w:space="0" w:color="auto"/>
            <w:right w:val="none" w:sz="0" w:space="0" w:color="auto"/>
          </w:divBdr>
        </w:div>
        <w:div w:id="1833256237">
          <w:marLeft w:val="480"/>
          <w:marRight w:val="0"/>
          <w:marTop w:val="0"/>
          <w:marBottom w:val="0"/>
          <w:divBdr>
            <w:top w:val="none" w:sz="0" w:space="0" w:color="auto"/>
            <w:left w:val="none" w:sz="0" w:space="0" w:color="auto"/>
            <w:bottom w:val="none" w:sz="0" w:space="0" w:color="auto"/>
            <w:right w:val="none" w:sz="0" w:space="0" w:color="auto"/>
          </w:divBdr>
        </w:div>
        <w:div w:id="2044742301">
          <w:marLeft w:val="480"/>
          <w:marRight w:val="0"/>
          <w:marTop w:val="0"/>
          <w:marBottom w:val="0"/>
          <w:divBdr>
            <w:top w:val="none" w:sz="0" w:space="0" w:color="auto"/>
            <w:left w:val="none" w:sz="0" w:space="0" w:color="auto"/>
            <w:bottom w:val="none" w:sz="0" w:space="0" w:color="auto"/>
            <w:right w:val="none" w:sz="0" w:space="0" w:color="auto"/>
          </w:divBdr>
        </w:div>
        <w:div w:id="2130002246">
          <w:marLeft w:val="480"/>
          <w:marRight w:val="0"/>
          <w:marTop w:val="0"/>
          <w:marBottom w:val="0"/>
          <w:divBdr>
            <w:top w:val="none" w:sz="0" w:space="0" w:color="auto"/>
            <w:left w:val="none" w:sz="0" w:space="0" w:color="auto"/>
            <w:bottom w:val="none" w:sz="0" w:space="0" w:color="auto"/>
            <w:right w:val="none" w:sz="0" w:space="0" w:color="auto"/>
          </w:divBdr>
        </w:div>
        <w:div w:id="890993935">
          <w:marLeft w:val="480"/>
          <w:marRight w:val="0"/>
          <w:marTop w:val="0"/>
          <w:marBottom w:val="0"/>
          <w:divBdr>
            <w:top w:val="none" w:sz="0" w:space="0" w:color="auto"/>
            <w:left w:val="none" w:sz="0" w:space="0" w:color="auto"/>
            <w:bottom w:val="none" w:sz="0" w:space="0" w:color="auto"/>
            <w:right w:val="none" w:sz="0" w:space="0" w:color="auto"/>
          </w:divBdr>
        </w:div>
        <w:div w:id="1682392114">
          <w:marLeft w:val="480"/>
          <w:marRight w:val="0"/>
          <w:marTop w:val="0"/>
          <w:marBottom w:val="0"/>
          <w:divBdr>
            <w:top w:val="none" w:sz="0" w:space="0" w:color="auto"/>
            <w:left w:val="none" w:sz="0" w:space="0" w:color="auto"/>
            <w:bottom w:val="none" w:sz="0" w:space="0" w:color="auto"/>
            <w:right w:val="none" w:sz="0" w:space="0" w:color="auto"/>
          </w:divBdr>
        </w:div>
        <w:div w:id="1177042794">
          <w:marLeft w:val="480"/>
          <w:marRight w:val="0"/>
          <w:marTop w:val="0"/>
          <w:marBottom w:val="0"/>
          <w:divBdr>
            <w:top w:val="none" w:sz="0" w:space="0" w:color="auto"/>
            <w:left w:val="none" w:sz="0" w:space="0" w:color="auto"/>
            <w:bottom w:val="none" w:sz="0" w:space="0" w:color="auto"/>
            <w:right w:val="none" w:sz="0" w:space="0" w:color="auto"/>
          </w:divBdr>
        </w:div>
        <w:div w:id="1844785756">
          <w:marLeft w:val="480"/>
          <w:marRight w:val="0"/>
          <w:marTop w:val="0"/>
          <w:marBottom w:val="0"/>
          <w:divBdr>
            <w:top w:val="none" w:sz="0" w:space="0" w:color="auto"/>
            <w:left w:val="none" w:sz="0" w:space="0" w:color="auto"/>
            <w:bottom w:val="none" w:sz="0" w:space="0" w:color="auto"/>
            <w:right w:val="none" w:sz="0" w:space="0" w:color="auto"/>
          </w:divBdr>
        </w:div>
        <w:div w:id="478232307">
          <w:marLeft w:val="480"/>
          <w:marRight w:val="0"/>
          <w:marTop w:val="0"/>
          <w:marBottom w:val="0"/>
          <w:divBdr>
            <w:top w:val="none" w:sz="0" w:space="0" w:color="auto"/>
            <w:left w:val="none" w:sz="0" w:space="0" w:color="auto"/>
            <w:bottom w:val="none" w:sz="0" w:space="0" w:color="auto"/>
            <w:right w:val="none" w:sz="0" w:space="0" w:color="auto"/>
          </w:divBdr>
        </w:div>
        <w:div w:id="197397774">
          <w:marLeft w:val="480"/>
          <w:marRight w:val="0"/>
          <w:marTop w:val="0"/>
          <w:marBottom w:val="0"/>
          <w:divBdr>
            <w:top w:val="none" w:sz="0" w:space="0" w:color="auto"/>
            <w:left w:val="none" w:sz="0" w:space="0" w:color="auto"/>
            <w:bottom w:val="none" w:sz="0" w:space="0" w:color="auto"/>
            <w:right w:val="none" w:sz="0" w:space="0" w:color="auto"/>
          </w:divBdr>
        </w:div>
        <w:div w:id="1773361401">
          <w:marLeft w:val="480"/>
          <w:marRight w:val="0"/>
          <w:marTop w:val="0"/>
          <w:marBottom w:val="0"/>
          <w:divBdr>
            <w:top w:val="none" w:sz="0" w:space="0" w:color="auto"/>
            <w:left w:val="none" w:sz="0" w:space="0" w:color="auto"/>
            <w:bottom w:val="none" w:sz="0" w:space="0" w:color="auto"/>
            <w:right w:val="none" w:sz="0" w:space="0" w:color="auto"/>
          </w:divBdr>
        </w:div>
        <w:div w:id="2051758444">
          <w:marLeft w:val="480"/>
          <w:marRight w:val="0"/>
          <w:marTop w:val="0"/>
          <w:marBottom w:val="0"/>
          <w:divBdr>
            <w:top w:val="none" w:sz="0" w:space="0" w:color="auto"/>
            <w:left w:val="none" w:sz="0" w:space="0" w:color="auto"/>
            <w:bottom w:val="none" w:sz="0" w:space="0" w:color="auto"/>
            <w:right w:val="none" w:sz="0" w:space="0" w:color="auto"/>
          </w:divBdr>
        </w:div>
        <w:div w:id="371728603">
          <w:marLeft w:val="480"/>
          <w:marRight w:val="0"/>
          <w:marTop w:val="0"/>
          <w:marBottom w:val="0"/>
          <w:divBdr>
            <w:top w:val="none" w:sz="0" w:space="0" w:color="auto"/>
            <w:left w:val="none" w:sz="0" w:space="0" w:color="auto"/>
            <w:bottom w:val="none" w:sz="0" w:space="0" w:color="auto"/>
            <w:right w:val="none" w:sz="0" w:space="0" w:color="auto"/>
          </w:divBdr>
        </w:div>
        <w:div w:id="1938559179">
          <w:marLeft w:val="480"/>
          <w:marRight w:val="0"/>
          <w:marTop w:val="0"/>
          <w:marBottom w:val="0"/>
          <w:divBdr>
            <w:top w:val="none" w:sz="0" w:space="0" w:color="auto"/>
            <w:left w:val="none" w:sz="0" w:space="0" w:color="auto"/>
            <w:bottom w:val="none" w:sz="0" w:space="0" w:color="auto"/>
            <w:right w:val="none" w:sz="0" w:space="0" w:color="auto"/>
          </w:divBdr>
        </w:div>
        <w:div w:id="1143809678">
          <w:marLeft w:val="480"/>
          <w:marRight w:val="0"/>
          <w:marTop w:val="0"/>
          <w:marBottom w:val="0"/>
          <w:divBdr>
            <w:top w:val="none" w:sz="0" w:space="0" w:color="auto"/>
            <w:left w:val="none" w:sz="0" w:space="0" w:color="auto"/>
            <w:bottom w:val="none" w:sz="0" w:space="0" w:color="auto"/>
            <w:right w:val="none" w:sz="0" w:space="0" w:color="auto"/>
          </w:divBdr>
        </w:div>
        <w:div w:id="1009453796">
          <w:marLeft w:val="480"/>
          <w:marRight w:val="0"/>
          <w:marTop w:val="0"/>
          <w:marBottom w:val="0"/>
          <w:divBdr>
            <w:top w:val="none" w:sz="0" w:space="0" w:color="auto"/>
            <w:left w:val="none" w:sz="0" w:space="0" w:color="auto"/>
            <w:bottom w:val="none" w:sz="0" w:space="0" w:color="auto"/>
            <w:right w:val="none" w:sz="0" w:space="0" w:color="auto"/>
          </w:divBdr>
        </w:div>
        <w:div w:id="1720401132">
          <w:marLeft w:val="480"/>
          <w:marRight w:val="0"/>
          <w:marTop w:val="0"/>
          <w:marBottom w:val="0"/>
          <w:divBdr>
            <w:top w:val="none" w:sz="0" w:space="0" w:color="auto"/>
            <w:left w:val="none" w:sz="0" w:space="0" w:color="auto"/>
            <w:bottom w:val="none" w:sz="0" w:space="0" w:color="auto"/>
            <w:right w:val="none" w:sz="0" w:space="0" w:color="auto"/>
          </w:divBdr>
        </w:div>
        <w:div w:id="865678484">
          <w:marLeft w:val="480"/>
          <w:marRight w:val="0"/>
          <w:marTop w:val="0"/>
          <w:marBottom w:val="0"/>
          <w:divBdr>
            <w:top w:val="none" w:sz="0" w:space="0" w:color="auto"/>
            <w:left w:val="none" w:sz="0" w:space="0" w:color="auto"/>
            <w:bottom w:val="none" w:sz="0" w:space="0" w:color="auto"/>
            <w:right w:val="none" w:sz="0" w:space="0" w:color="auto"/>
          </w:divBdr>
        </w:div>
        <w:div w:id="481624969">
          <w:marLeft w:val="480"/>
          <w:marRight w:val="0"/>
          <w:marTop w:val="0"/>
          <w:marBottom w:val="0"/>
          <w:divBdr>
            <w:top w:val="none" w:sz="0" w:space="0" w:color="auto"/>
            <w:left w:val="none" w:sz="0" w:space="0" w:color="auto"/>
            <w:bottom w:val="none" w:sz="0" w:space="0" w:color="auto"/>
            <w:right w:val="none" w:sz="0" w:space="0" w:color="auto"/>
          </w:divBdr>
        </w:div>
        <w:div w:id="535657799">
          <w:marLeft w:val="480"/>
          <w:marRight w:val="0"/>
          <w:marTop w:val="0"/>
          <w:marBottom w:val="0"/>
          <w:divBdr>
            <w:top w:val="none" w:sz="0" w:space="0" w:color="auto"/>
            <w:left w:val="none" w:sz="0" w:space="0" w:color="auto"/>
            <w:bottom w:val="none" w:sz="0" w:space="0" w:color="auto"/>
            <w:right w:val="none" w:sz="0" w:space="0" w:color="auto"/>
          </w:divBdr>
        </w:div>
        <w:div w:id="1160921696">
          <w:marLeft w:val="480"/>
          <w:marRight w:val="0"/>
          <w:marTop w:val="0"/>
          <w:marBottom w:val="0"/>
          <w:divBdr>
            <w:top w:val="none" w:sz="0" w:space="0" w:color="auto"/>
            <w:left w:val="none" w:sz="0" w:space="0" w:color="auto"/>
            <w:bottom w:val="none" w:sz="0" w:space="0" w:color="auto"/>
            <w:right w:val="none" w:sz="0" w:space="0" w:color="auto"/>
          </w:divBdr>
        </w:div>
        <w:div w:id="1945919356">
          <w:marLeft w:val="480"/>
          <w:marRight w:val="0"/>
          <w:marTop w:val="0"/>
          <w:marBottom w:val="0"/>
          <w:divBdr>
            <w:top w:val="none" w:sz="0" w:space="0" w:color="auto"/>
            <w:left w:val="none" w:sz="0" w:space="0" w:color="auto"/>
            <w:bottom w:val="none" w:sz="0" w:space="0" w:color="auto"/>
            <w:right w:val="none" w:sz="0" w:space="0" w:color="auto"/>
          </w:divBdr>
        </w:div>
        <w:div w:id="962031372">
          <w:marLeft w:val="480"/>
          <w:marRight w:val="0"/>
          <w:marTop w:val="0"/>
          <w:marBottom w:val="0"/>
          <w:divBdr>
            <w:top w:val="none" w:sz="0" w:space="0" w:color="auto"/>
            <w:left w:val="none" w:sz="0" w:space="0" w:color="auto"/>
            <w:bottom w:val="none" w:sz="0" w:space="0" w:color="auto"/>
            <w:right w:val="none" w:sz="0" w:space="0" w:color="auto"/>
          </w:divBdr>
        </w:div>
        <w:div w:id="1468939268">
          <w:marLeft w:val="480"/>
          <w:marRight w:val="0"/>
          <w:marTop w:val="0"/>
          <w:marBottom w:val="0"/>
          <w:divBdr>
            <w:top w:val="none" w:sz="0" w:space="0" w:color="auto"/>
            <w:left w:val="none" w:sz="0" w:space="0" w:color="auto"/>
            <w:bottom w:val="none" w:sz="0" w:space="0" w:color="auto"/>
            <w:right w:val="none" w:sz="0" w:space="0" w:color="auto"/>
          </w:divBdr>
        </w:div>
        <w:div w:id="108624720">
          <w:marLeft w:val="480"/>
          <w:marRight w:val="0"/>
          <w:marTop w:val="0"/>
          <w:marBottom w:val="0"/>
          <w:divBdr>
            <w:top w:val="none" w:sz="0" w:space="0" w:color="auto"/>
            <w:left w:val="none" w:sz="0" w:space="0" w:color="auto"/>
            <w:bottom w:val="none" w:sz="0" w:space="0" w:color="auto"/>
            <w:right w:val="none" w:sz="0" w:space="0" w:color="auto"/>
          </w:divBdr>
        </w:div>
        <w:div w:id="1632861466">
          <w:marLeft w:val="480"/>
          <w:marRight w:val="0"/>
          <w:marTop w:val="0"/>
          <w:marBottom w:val="0"/>
          <w:divBdr>
            <w:top w:val="none" w:sz="0" w:space="0" w:color="auto"/>
            <w:left w:val="none" w:sz="0" w:space="0" w:color="auto"/>
            <w:bottom w:val="none" w:sz="0" w:space="0" w:color="auto"/>
            <w:right w:val="none" w:sz="0" w:space="0" w:color="auto"/>
          </w:divBdr>
        </w:div>
        <w:div w:id="59603480">
          <w:marLeft w:val="480"/>
          <w:marRight w:val="0"/>
          <w:marTop w:val="0"/>
          <w:marBottom w:val="0"/>
          <w:divBdr>
            <w:top w:val="none" w:sz="0" w:space="0" w:color="auto"/>
            <w:left w:val="none" w:sz="0" w:space="0" w:color="auto"/>
            <w:bottom w:val="none" w:sz="0" w:space="0" w:color="auto"/>
            <w:right w:val="none" w:sz="0" w:space="0" w:color="auto"/>
          </w:divBdr>
        </w:div>
        <w:div w:id="163135326">
          <w:marLeft w:val="480"/>
          <w:marRight w:val="0"/>
          <w:marTop w:val="0"/>
          <w:marBottom w:val="0"/>
          <w:divBdr>
            <w:top w:val="none" w:sz="0" w:space="0" w:color="auto"/>
            <w:left w:val="none" w:sz="0" w:space="0" w:color="auto"/>
            <w:bottom w:val="none" w:sz="0" w:space="0" w:color="auto"/>
            <w:right w:val="none" w:sz="0" w:space="0" w:color="auto"/>
          </w:divBdr>
        </w:div>
        <w:div w:id="542667992">
          <w:marLeft w:val="480"/>
          <w:marRight w:val="0"/>
          <w:marTop w:val="0"/>
          <w:marBottom w:val="0"/>
          <w:divBdr>
            <w:top w:val="none" w:sz="0" w:space="0" w:color="auto"/>
            <w:left w:val="none" w:sz="0" w:space="0" w:color="auto"/>
            <w:bottom w:val="none" w:sz="0" w:space="0" w:color="auto"/>
            <w:right w:val="none" w:sz="0" w:space="0" w:color="auto"/>
          </w:divBdr>
        </w:div>
        <w:div w:id="930510708">
          <w:marLeft w:val="480"/>
          <w:marRight w:val="0"/>
          <w:marTop w:val="0"/>
          <w:marBottom w:val="0"/>
          <w:divBdr>
            <w:top w:val="none" w:sz="0" w:space="0" w:color="auto"/>
            <w:left w:val="none" w:sz="0" w:space="0" w:color="auto"/>
            <w:bottom w:val="none" w:sz="0" w:space="0" w:color="auto"/>
            <w:right w:val="none" w:sz="0" w:space="0" w:color="auto"/>
          </w:divBdr>
        </w:div>
        <w:div w:id="1186794477">
          <w:marLeft w:val="480"/>
          <w:marRight w:val="0"/>
          <w:marTop w:val="0"/>
          <w:marBottom w:val="0"/>
          <w:divBdr>
            <w:top w:val="none" w:sz="0" w:space="0" w:color="auto"/>
            <w:left w:val="none" w:sz="0" w:space="0" w:color="auto"/>
            <w:bottom w:val="none" w:sz="0" w:space="0" w:color="auto"/>
            <w:right w:val="none" w:sz="0" w:space="0" w:color="auto"/>
          </w:divBdr>
        </w:div>
        <w:div w:id="481775370">
          <w:marLeft w:val="480"/>
          <w:marRight w:val="0"/>
          <w:marTop w:val="0"/>
          <w:marBottom w:val="0"/>
          <w:divBdr>
            <w:top w:val="none" w:sz="0" w:space="0" w:color="auto"/>
            <w:left w:val="none" w:sz="0" w:space="0" w:color="auto"/>
            <w:bottom w:val="none" w:sz="0" w:space="0" w:color="auto"/>
            <w:right w:val="none" w:sz="0" w:space="0" w:color="auto"/>
          </w:divBdr>
        </w:div>
        <w:div w:id="1586764464">
          <w:marLeft w:val="480"/>
          <w:marRight w:val="0"/>
          <w:marTop w:val="0"/>
          <w:marBottom w:val="0"/>
          <w:divBdr>
            <w:top w:val="none" w:sz="0" w:space="0" w:color="auto"/>
            <w:left w:val="none" w:sz="0" w:space="0" w:color="auto"/>
            <w:bottom w:val="none" w:sz="0" w:space="0" w:color="auto"/>
            <w:right w:val="none" w:sz="0" w:space="0" w:color="auto"/>
          </w:divBdr>
        </w:div>
      </w:divsChild>
    </w:div>
    <w:div w:id="1883439194">
      <w:bodyDiv w:val="1"/>
      <w:marLeft w:val="0"/>
      <w:marRight w:val="0"/>
      <w:marTop w:val="0"/>
      <w:marBottom w:val="0"/>
      <w:divBdr>
        <w:top w:val="none" w:sz="0" w:space="0" w:color="auto"/>
        <w:left w:val="none" w:sz="0" w:space="0" w:color="auto"/>
        <w:bottom w:val="none" w:sz="0" w:space="0" w:color="auto"/>
        <w:right w:val="none" w:sz="0" w:space="0" w:color="auto"/>
      </w:divBdr>
    </w:div>
    <w:div w:id="1885025574">
      <w:bodyDiv w:val="1"/>
      <w:marLeft w:val="0"/>
      <w:marRight w:val="0"/>
      <w:marTop w:val="0"/>
      <w:marBottom w:val="0"/>
      <w:divBdr>
        <w:top w:val="none" w:sz="0" w:space="0" w:color="auto"/>
        <w:left w:val="none" w:sz="0" w:space="0" w:color="auto"/>
        <w:bottom w:val="none" w:sz="0" w:space="0" w:color="auto"/>
        <w:right w:val="none" w:sz="0" w:space="0" w:color="auto"/>
      </w:divBdr>
    </w:div>
    <w:div w:id="1886214778">
      <w:bodyDiv w:val="1"/>
      <w:marLeft w:val="0"/>
      <w:marRight w:val="0"/>
      <w:marTop w:val="0"/>
      <w:marBottom w:val="0"/>
      <w:divBdr>
        <w:top w:val="none" w:sz="0" w:space="0" w:color="auto"/>
        <w:left w:val="none" w:sz="0" w:space="0" w:color="auto"/>
        <w:bottom w:val="none" w:sz="0" w:space="0" w:color="auto"/>
        <w:right w:val="none" w:sz="0" w:space="0" w:color="auto"/>
      </w:divBdr>
    </w:div>
    <w:div w:id="1886872098">
      <w:bodyDiv w:val="1"/>
      <w:marLeft w:val="0"/>
      <w:marRight w:val="0"/>
      <w:marTop w:val="0"/>
      <w:marBottom w:val="0"/>
      <w:divBdr>
        <w:top w:val="none" w:sz="0" w:space="0" w:color="auto"/>
        <w:left w:val="none" w:sz="0" w:space="0" w:color="auto"/>
        <w:bottom w:val="none" w:sz="0" w:space="0" w:color="auto"/>
        <w:right w:val="none" w:sz="0" w:space="0" w:color="auto"/>
      </w:divBdr>
    </w:div>
    <w:div w:id="1887599707">
      <w:bodyDiv w:val="1"/>
      <w:marLeft w:val="0"/>
      <w:marRight w:val="0"/>
      <w:marTop w:val="0"/>
      <w:marBottom w:val="0"/>
      <w:divBdr>
        <w:top w:val="none" w:sz="0" w:space="0" w:color="auto"/>
        <w:left w:val="none" w:sz="0" w:space="0" w:color="auto"/>
        <w:bottom w:val="none" w:sz="0" w:space="0" w:color="auto"/>
        <w:right w:val="none" w:sz="0" w:space="0" w:color="auto"/>
      </w:divBdr>
    </w:div>
    <w:div w:id="1888451651">
      <w:bodyDiv w:val="1"/>
      <w:marLeft w:val="0"/>
      <w:marRight w:val="0"/>
      <w:marTop w:val="0"/>
      <w:marBottom w:val="0"/>
      <w:divBdr>
        <w:top w:val="none" w:sz="0" w:space="0" w:color="auto"/>
        <w:left w:val="none" w:sz="0" w:space="0" w:color="auto"/>
        <w:bottom w:val="none" w:sz="0" w:space="0" w:color="auto"/>
        <w:right w:val="none" w:sz="0" w:space="0" w:color="auto"/>
      </w:divBdr>
    </w:div>
    <w:div w:id="1889102723">
      <w:bodyDiv w:val="1"/>
      <w:marLeft w:val="0"/>
      <w:marRight w:val="0"/>
      <w:marTop w:val="0"/>
      <w:marBottom w:val="0"/>
      <w:divBdr>
        <w:top w:val="none" w:sz="0" w:space="0" w:color="auto"/>
        <w:left w:val="none" w:sz="0" w:space="0" w:color="auto"/>
        <w:bottom w:val="none" w:sz="0" w:space="0" w:color="auto"/>
        <w:right w:val="none" w:sz="0" w:space="0" w:color="auto"/>
      </w:divBdr>
    </w:div>
    <w:div w:id="1889144239">
      <w:bodyDiv w:val="1"/>
      <w:marLeft w:val="0"/>
      <w:marRight w:val="0"/>
      <w:marTop w:val="0"/>
      <w:marBottom w:val="0"/>
      <w:divBdr>
        <w:top w:val="none" w:sz="0" w:space="0" w:color="auto"/>
        <w:left w:val="none" w:sz="0" w:space="0" w:color="auto"/>
        <w:bottom w:val="none" w:sz="0" w:space="0" w:color="auto"/>
        <w:right w:val="none" w:sz="0" w:space="0" w:color="auto"/>
      </w:divBdr>
    </w:div>
    <w:div w:id="1889680843">
      <w:bodyDiv w:val="1"/>
      <w:marLeft w:val="0"/>
      <w:marRight w:val="0"/>
      <w:marTop w:val="0"/>
      <w:marBottom w:val="0"/>
      <w:divBdr>
        <w:top w:val="none" w:sz="0" w:space="0" w:color="auto"/>
        <w:left w:val="none" w:sz="0" w:space="0" w:color="auto"/>
        <w:bottom w:val="none" w:sz="0" w:space="0" w:color="auto"/>
        <w:right w:val="none" w:sz="0" w:space="0" w:color="auto"/>
      </w:divBdr>
    </w:div>
    <w:div w:id="1891072414">
      <w:bodyDiv w:val="1"/>
      <w:marLeft w:val="0"/>
      <w:marRight w:val="0"/>
      <w:marTop w:val="0"/>
      <w:marBottom w:val="0"/>
      <w:divBdr>
        <w:top w:val="none" w:sz="0" w:space="0" w:color="auto"/>
        <w:left w:val="none" w:sz="0" w:space="0" w:color="auto"/>
        <w:bottom w:val="none" w:sz="0" w:space="0" w:color="auto"/>
        <w:right w:val="none" w:sz="0" w:space="0" w:color="auto"/>
      </w:divBdr>
    </w:div>
    <w:div w:id="1891846443">
      <w:bodyDiv w:val="1"/>
      <w:marLeft w:val="0"/>
      <w:marRight w:val="0"/>
      <w:marTop w:val="0"/>
      <w:marBottom w:val="0"/>
      <w:divBdr>
        <w:top w:val="none" w:sz="0" w:space="0" w:color="auto"/>
        <w:left w:val="none" w:sz="0" w:space="0" w:color="auto"/>
        <w:bottom w:val="none" w:sz="0" w:space="0" w:color="auto"/>
        <w:right w:val="none" w:sz="0" w:space="0" w:color="auto"/>
      </w:divBdr>
    </w:div>
    <w:div w:id="1893732663">
      <w:bodyDiv w:val="1"/>
      <w:marLeft w:val="0"/>
      <w:marRight w:val="0"/>
      <w:marTop w:val="0"/>
      <w:marBottom w:val="0"/>
      <w:divBdr>
        <w:top w:val="none" w:sz="0" w:space="0" w:color="auto"/>
        <w:left w:val="none" w:sz="0" w:space="0" w:color="auto"/>
        <w:bottom w:val="none" w:sz="0" w:space="0" w:color="auto"/>
        <w:right w:val="none" w:sz="0" w:space="0" w:color="auto"/>
      </w:divBdr>
    </w:div>
    <w:div w:id="1895309944">
      <w:bodyDiv w:val="1"/>
      <w:marLeft w:val="0"/>
      <w:marRight w:val="0"/>
      <w:marTop w:val="0"/>
      <w:marBottom w:val="0"/>
      <w:divBdr>
        <w:top w:val="none" w:sz="0" w:space="0" w:color="auto"/>
        <w:left w:val="none" w:sz="0" w:space="0" w:color="auto"/>
        <w:bottom w:val="none" w:sz="0" w:space="0" w:color="auto"/>
        <w:right w:val="none" w:sz="0" w:space="0" w:color="auto"/>
      </w:divBdr>
    </w:div>
    <w:div w:id="1895457920">
      <w:bodyDiv w:val="1"/>
      <w:marLeft w:val="0"/>
      <w:marRight w:val="0"/>
      <w:marTop w:val="0"/>
      <w:marBottom w:val="0"/>
      <w:divBdr>
        <w:top w:val="none" w:sz="0" w:space="0" w:color="auto"/>
        <w:left w:val="none" w:sz="0" w:space="0" w:color="auto"/>
        <w:bottom w:val="none" w:sz="0" w:space="0" w:color="auto"/>
        <w:right w:val="none" w:sz="0" w:space="0" w:color="auto"/>
      </w:divBdr>
    </w:div>
    <w:div w:id="1895654760">
      <w:bodyDiv w:val="1"/>
      <w:marLeft w:val="0"/>
      <w:marRight w:val="0"/>
      <w:marTop w:val="0"/>
      <w:marBottom w:val="0"/>
      <w:divBdr>
        <w:top w:val="none" w:sz="0" w:space="0" w:color="auto"/>
        <w:left w:val="none" w:sz="0" w:space="0" w:color="auto"/>
        <w:bottom w:val="none" w:sz="0" w:space="0" w:color="auto"/>
        <w:right w:val="none" w:sz="0" w:space="0" w:color="auto"/>
      </w:divBdr>
    </w:div>
    <w:div w:id="1896775599">
      <w:bodyDiv w:val="1"/>
      <w:marLeft w:val="0"/>
      <w:marRight w:val="0"/>
      <w:marTop w:val="0"/>
      <w:marBottom w:val="0"/>
      <w:divBdr>
        <w:top w:val="none" w:sz="0" w:space="0" w:color="auto"/>
        <w:left w:val="none" w:sz="0" w:space="0" w:color="auto"/>
        <w:bottom w:val="none" w:sz="0" w:space="0" w:color="auto"/>
        <w:right w:val="none" w:sz="0" w:space="0" w:color="auto"/>
      </w:divBdr>
    </w:div>
    <w:div w:id="1897159053">
      <w:bodyDiv w:val="1"/>
      <w:marLeft w:val="0"/>
      <w:marRight w:val="0"/>
      <w:marTop w:val="0"/>
      <w:marBottom w:val="0"/>
      <w:divBdr>
        <w:top w:val="none" w:sz="0" w:space="0" w:color="auto"/>
        <w:left w:val="none" w:sz="0" w:space="0" w:color="auto"/>
        <w:bottom w:val="none" w:sz="0" w:space="0" w:color="auto"/>
        <w:right w:val="none" w:sz="0" w:space="0" w:color="auto"/>
      </w:divBdr>
    </w:div>
    <w:div w:id="1897428116">
      <w:bodyDiv w:val="1"/>
      <w:marLeft w:val="0"/>
      <w:marRight w:val="0"/>
      <w:marTop w:val="0"/>
      <w:marBottom w:val="0"/>
      <w:divBdr>
        <w:top w:val="none" w:sz="0" w:space="0" w:color="auto"/>
        <w:left w:val="none" w:sz="0" w:space="0" w:color="auto"/>
        <w:bottom w:val="none" w:sz="0" w:space="0" w:color="auto"/>
        <w:right w:val="none" w:sz="0" w:space="0" w:color="auto"/>
      </w:divBdr>
    </w:div>
    <w:div w:id="1897617563">
      <w:bodyDiv w:val="1"/>
      <w:marLeft w:val="0"/>
      <w:marRight w:val="0"/>
      <w:marTop w:val="0"/>
      <w:marBottom w:val="0"/>
      <w:divBdr>
        <w:top w:val="none" w:sz="0" w:space="0" w:color="auto"/>
        <w:left w:val="none" w:sz="0" w:space="0" w:color="auto"/>
        <w:bottom w:val="none" w:sz="0" w:space="0" w:color="auto"/>
        <w:right w:val="none" w:sz="0" w:space="0" w:color="auto"/>
      </w:divBdr>
    </w:div>
    <w:div w:id="1898661446">
      <w:bodyDiv w:val="1"/>
      <w:marLeft w:val="0"/>
      <w:marRight w:val="0"/>
      <w:marTop w:val="0"/>
      <w:marBottom w:val="0"/>
      <w:divBdr>
        <w:top w:val="none" w:sz="0" w:space="0" w:color="auto"/>
        <w:left w:val="none" w:sz="0" w:space="0" w:color="auto"/>
        <w:bottom w:val="none" w:sz="0" w:space="0" w:color="auto"/>
        <w:right w:val="none" w:sz="0" w:space="0" w:color="auto"/>
      </w:divBdr>
    </w:div>
    <w:div w:id="1900238182">
      <w:bodyDiv w:val="1"/>
      <w:marLeft w:val="0"/>
      <w:marRight w:val="0"/>
      <w:marTop w:val="0"/>
      <w:marBottom w:val="0"/>
      <w:divBdr>
        <w:top w:val="none" w:sz="0" w:space="0" w:color="auto"/>
        <w:left w:val="none" w:sz="0" w:space="0" w:color="auto"/>
        <w:bottom w:val="none" w:sz="0" w:space="0" w:color="auto"/>
        <w:right w:val="none" w:sz="0" w:space="0" w:color="auto"/>
      </w:divBdr>
    </w:div>
    <w:div w:id="1900629604">
      <w:bodyDiv w:val="1"/>
      <w:marLeft w:val="0"/>
      <w:marRight w:val="0"/>
      <w:marTop w:val="0"/>
      <w:marBottom w:val="0"/>
      <w:divBdr>
        <w:top w:val="none" w:sz="0" w:space="0" w:color="auto"/>
        <w:left w:val="none" w:sz="0" w:space="0" w:color="auto"/>
        <w:bottom w:val="none" w:sz="0" w:space="0" w:color="auto"/>
        <w:right w:val="none" w:sz="0" w:space="0" w:color="auto"/>
      </w:divBdr>
    </w:div>
    <w:div w:id="1902521748">
      <w:bodyDiv w:val="1"/>
      <w:marLeft w:val="0"/>
      <w:marRight w:val="0"/>
      <w:marTop w:val="0"/>
      <w:marBottom w:val="0"/>
      <w:divBdr>
        <w:top w:val="none" w:sz="0" w:space="0" w:color="auto"/>
        <w:left w:val="none" w:sz="0" w:space="0" w:color="auto"/>
        <w:bottom w:val="none" w:sz="0" w:space="0" w:color="auto"/>
        <w:right w:val="none" w:sz="0" w:space="0" w:color="auto"/>
      </w:divBdr>
    </w:div>
    <w:div w:id="1903787396">
      <w:bodyDiv w:val="1"/>
      <w:marLeft w:val="0"/>
      <w:marRight w:val="0"/>
      <w:marTop w:val="0"/>
      <w:marBottom w:val="0"/>
      <w:divBdr>
        <w:top w:val="none" w:sz="0" w:space="0" w:color="auto"/>
        <w:left w:val="none" w:sz="0" w:space="0" w:color="auto"/>
        <w:bottom w:val="none" w:sz="0" w:space="0" w:color="auto"/>
        <w:right w:val="none" w:sz="0" w:space="0" w:color="auto"/>
      </w:divBdr>
    </w:div>
    <w:div w:id="1904484385">
      <w:bodyDiv w:val="1"/>
      <w:marLeft w:val="0"/>
      <w:marRight w:val="0"/>
      <w:marTop w:val="0"/>
      <w:marBottom w:val="0"/>
      <w:divBdr>
        <w:top w:val="none" w:sz="0" w:space="0" w:color="auto"/>
        <w:left w:val="none" w:sz="0" w:space="0" w:color="auto"/>
        <w:bottom w:val="none" w:sz="0" w:space="0" w:color="auto"/>
        <w:right w:val="none" w:sz="0" w:space="0" w:color="auto"/>
      </w:divBdr>
    </w:div>
    <w:div w:id="1905212051">
      <w:bodyDiv w:val="1"/>
      <w:marLeft w:val="0"/>
      <w:marRight w:val="0"/>
      <w:marTop w:val="0"/>
      <w:marBottom w:val="0"/>
      <w:divBdr>
        <w:top w:val="none" w:sz="0" w:space="0" w:color="auto"/>
        <w:left w:val="none" w:sz="0" w:space="0" w:color="auto"/>
        <w:bottom w:val="none" w:sz="0" w:space="0" w:color="auto"/>
        <w:right w:val="none" w:sz="0" w:space="0" w:color="auto"/>
      </w:divBdr>
    </w:div>
    <w:div w:id="1908493672">
      <w:bodyDiv w:val="1"/>
      <w:marLeft w:val="0"/>
      <w:marRight w:val="0"/>
      <w:marTop w:val="0"/>
      <w:marBottom w:val="0"/>
      <w:divBdr>
        <w:top w:val="none" w:sz="0" w:space="0" w:color="auto"/>
        <w:left w:val="none" w:sz="0" w:space="0" w:color="auto"/>
        <w:bottom w:val="none" w:sz="0" w:space="0" w:color="auto"/>
        <w:right w:val="none" w:sz="0" w:space="0" w:color="auto"/>
      </w:divBdr>
    </w:div>
    <w:div w:id="1909069787">
      <w:bodyDiv w:val="1"/>
      <w:marLeft w:val="0"/>
      <w:marRight w:val="0"/>
      <w:marTop w:val="0"/>
      <w:marBottom w:val="0"/>
      <w:divBdr>
        <w:top w:val="none" w:sz="0" w:space="0" w:color="auto"/>
        <w:left w:val="none" w:sz="0" w:space="0" w:color="auto"/>
        <w:bottom w:val="none" w:sz="0" w:space="0" w:color="auto"/>
        <w:right w:val="none" w:sz="0" w:space="0" w:color="auto"/>
      </w:divBdr>
    </w:div>
    <w:div w:id="1910073687">
      <w:bodyDiv w:val="1"/>
      <w:marLeft w:val="0"/>
      <w:marRight w:val="0"/>
      <w:marTop w:val="0"/>
      <w:marBottom w:val="0"/>
      <w:divBdr>
        <w:top w:val="none" w:sz="0" w:space="0" w:color="auto"/>
        <w:left w:val="none" w:sz="0" w:space="0" w:color="auto"/>
        <w:bottom w:val="none" w:sz="0" w:space="0" w:color="auto"/>
        <w:right w:val="none" w:sz="0" w:space="0" w:color="auto"/>
      </w:divBdr>
    </w:div>
    <w:div w:id="1912035835">
      <w:bodyDiv w:val="1"/>
      <w:marLeft w:val="0"/>
      <w:marRight w:val="0"/>
      <w:marTop w:val="0"/>
      <w:marBottom w:val="0"/>
      <w:divBdr>
        <w:top w:val="none" w:sz="0" w:space="0" w:color="auto"/>
        <w:left w:val="none" w:sz="0" w:space="0" w:color="auto"/>
        <w:bottom w:val="none" w:sz="0" w:space="0" w:color="auto"/>
        <w:right w:val="none" w:sz="0" w:space="0" w:color="auto"/>
      </w:divBdr>
    </w:div>
    <w:div w:id="1913269751">
      <w:bodyDiv w:val="1"/>
      <w:marLeft w:val="0"/>
      <w:marRight w:val="0"/>
      <w:marTop w:val="0"/>
      <w:marBottom w:val="0"/>
      <w:divBdr>
        <w:top w:val="none" w:sz="0" w:space="0" w:color="auto"/>
        <w:left w:val="none" w:sz="0" w:space="0" w:color="auto"/>
        <w:bottom w:val="none" w:sz="0" w:space="0" w:color="auto"/>
        <w:right w:val="none" w:sz="0" w:space="0" w:color="auto"/>
      </w:divBdr>
    </w:div>
    <w:div w:id="1914969982">
      <w:bodyDiv w:val="1"/>
      <w:marLeft w:val="0"/>
      <w:marRight w:val="0"/>
      <w:marTop w:val="0"/>
      <w:marBottom w:val="0"/>
      <w:divBdr>
        <w:top w:val="none" w:sz="0" w:space="0" w:color="auto"/>
        <w:left w:val="none" w:sz="0" w:space="0" w:color="auto"/>
        <w:bottom w:val="none" w:sz="0" w:space="0" w:color="auto"/>
        <w:right w:val="none" w:sz="0" w:space="0" w:color="auto"/>
      </w:divBdr>
    </w:div>
    <w:div w:id="1917125940">
      <w:bodyDiv w:val="1"/>
      <w:marLeft w:val="0"/>
      <w:marRight w:val="0"/>
      <w:marTop w:val="0"/>
      <w:marBottom w:val="0"/>
      <w:divBdr>
        <w:top w:val="none" w:sz="0" w:space="0" w:color="auto"/>
        <w:left w:val="none" w:sz="0" w:space="0" w:color="auto"/>
        <w:bottom w:val="none" w:sz="0" w:space="0" w:color="auto"/>
        <w:right w:val="none" w:sz="0" w:space="0" w:color="auto"/>
      </w:divBdr>
    </w:div>
    <w:div w:id="1918055127">
      <w:bodyDiv w:val="1"/>
      <w:marLeft w:val="0"/>
      <w:marRight w:val="0"/>
      <w:marTop w:val="0"/>
      <w:marBottom w:val="0"/>
      <w:divBdr>
        <w:top w:val="none" w:sz="0" w:space="0" w:color="auto"/>
        <w:left w:val="none" w:sz="0" w:space="0" w:color="auto"/>
        <w:bottom w:val="none" w:sz="0" w:space="0" w:color="auto"/>
        <w:right w:val="none" w:sz="0" w:space="0" w:color="auto"/>
      </w:divBdr>
    </w:div>
    <w:div w:id="1918980631">
      <w:bodyDiv w:val="1"/>
      <w:marLeft w:val="0"/>
      <w:marRight w:val="0"/>
      <w:marTop w:val="0"/>
      <w:marBottom w:val="0"/>
      <w:divBdr>
        <w:top w:val="none" w:sz="0" w:space="0" w:color="auto"/>
        <w:left w:val="none" w:sz="0" w:space="0" w:color="auto"/>
        <w:bottom w:val="none" w:sz="0" w:space="0" w:color="auto"/>
        <w:right w:val="none" w:sz="0" w:space="0" w:color="auto"/>
      </w:divBdr>
    </w:div>
    <w:div w:id="1920211450">
      <w:bodyDiv w:val="1"/>
      <w:marLeft w:val="0"/>
      <w:marRight w:val="0"/>
      <w:marTop w:val="0"/>
      <w:marBottom w:val="0"/>
      <w:divBdr>
        <w:top w:val="none" w:sz="0" w:space="0" w:color="auto"/>
        <w:left w:val="none" w:sz="0" w:space="0" w:color="auto"/>
        <w:bottom w:val="none" w:sz="0" w:space="0" w:color="auto"/>
        <w:right w:val="none" w:sz="0" w:space="0" w:color="auto"/>
      </w:divBdr>
    </w:div>
    <w:div w:id="1921599518">
      <w:bodyDiv w:val="1"/>
      <w:marLeft w:val="0"/>
      <w:marRight w:val="0"/>
      <w:marTop w:val="0"/>
      <w:marBottom w:val="0"/>
      <w:divBdr>
        <w:top w:val="none" w:sz="0" w:space="0" w:color="auto"/>
        <w:left w:val="none" w:sz="0" w:space="0" w:color="auto"/>
        <w:bottom w:val="none" w:sz="0" w:space="0" w:color="auto"/>
        <w:right w:val="none" w:sz="0" w:space="0" w:color="auto"/>
      </w:divBdr>
    </w:div>
    <w:div w:id="1923442610">
      <w:bodyDiv w:val="1"/>
      <w:marLeft w:val="0"/>
      <w:marRight w:val="0"/>
      <w:marTop w:val="0"/>
      <w:marBottom w:val="0"/>
      <w:divBdr>
        <w:top w:val="none" w:sz="0" w:space="0" w:color="auto"/>
        <w:left w:val="none" w:sz="0" w:space="0" w:color="auto"/>
        <w:bottom w:val="none" w:sz="0" w:space="0" w:color="auto"/>
        <w:right w:val="none" w:sz="0" w:space="0" w:color="auto"/>
      </w:divBdr>
    </w:div>
    <w:div w:id="1924751855">
      <w:bodyDiv w:val="1"/>
      <w:marLeft w:val="0"/>
      <w:marRight w:val="0"/>
      <w:marTop w:val="0"/>
      <w:marBottom w:val="0"/>
      <w:divBdr>
        <w:top w:val="none" w:sz="0" w:space="0" w:color="auto"/>
        <w:left w:val="none" w:sz="0" w:space="0" w:color="auto"/>
        <w:bottom w:val="none" w:sz="0" w:space="0" w:color="auto"/>
        <w:right w:val="none" w:sz="0" w:space="0" w:color="auto"/>
      </w:divBdr>
    </w:div>
    <w:div w:id="1924871820">
      <w:bodyDiv w:val="1"/>
      <w:marLeft w:val="0"/>
      <w:marRight w:val="0"/>
      <w:marTop w:val="0"/>
      <w:marBottom w:val="0"/>
      <w:divBdr>
        <w:top w:val="none" w:sz="0" w:space="0" w:color="auto"/>
        <w:left w:val="none" w:sz="0" w:space="0" w:color="auto"/>
        <w:bottom w:val="none" w:sz="0" w:space="0" w:color="auto"/>
        <w:right w:val="none" w:sz="0" w:space="0" w:color="auto"/>
      </w:divBdr>
    </w:div>
    <w:div w:id="1924879015">
      <w:bodyDiv w:val="1"/>
      <w:marLeft w:val="0"/>
      <w:marRight w:val="0"/>
      <w:marTop w:val="0"/>
      <w:marBottom w:val="0"/>
      <w:divBdr>
        <w:top w:val="none" w:sz="0" w:space="0" w:color="auto"/>
        <w:left w:val="none" w:sz="0" w:space="0" w:color="auto"/>
        <w:bottom w:val="none" w:sz="0" w:space="0" w:color="auto"/>
        <w:right w:val="none" w:sz="0" w:space="0" w:color="auto"/>
      </w:divBdr>
    </w:div>
    <w:div w:id="1930120290">
      <w:bodyDiv w:val="1"/>
      <w:marLeft w:val="0"/>
      <w:marRight w:val="0"/>
      <w:marTop w:val="0"/>
      <w:marBottom w:val="0"/>
      <w:divBdr>
        <w:top w:val="none" w:sz="0" w:space="0" w:color="auto"/>
        <w:left w:val="none" w:sz="0" w:space="0" w:color="auto"/>
        <w:bottom w:val="none" w:sz="0" w:space="0" w:color="auto"/>
        <w:right w:val="none" w:sz="0" w:space="0" w:color="auto"/>
      </w:divBdr>
    </w:div>
    <w:div w:id="1930382958">
      <w:bodyDiv w:val="1"/>
      <w:marLeft w:val="0"/>
      <w:marRight w:val="0"/>
      <w:marTop w:val="0"/>
      <w:marBottom w:val="0"/>
      <w:divBdr>
        <w:top w:val="none" w:sz="0" w:space="0" w:color="auto"/>
        <w:left w:val="none" w:sz="0" w:space="0" w:color="auto"/>
        <w:bottom w:val="none" w:sz="0" w:space="0" w:color="auto"/>
        <w:right w:val="none" w:sz="0" w:space="0" w:color="auto"/>
      </w:divBdr>
    </w:div>
    <w:div w:id="1933388461">
      <w:bodyDiv w:val="1"/>
      <w:marLeft w:val="0"/>
      <w:marRight w:val="0"/>
      <w:marTop w:val="0"/>
      <w:marBottom w:val="0"/>
      <w:divBdr>
        <w:top w:val="none" w:sz="0" w:space="0" w:color="auto"/>
        <w:left w:val="none" w:sz="0" w:space="0" w:color="auto"/>
        <w:bottom w:val="none" w:sz="0" w:space="0" w:color="auto"/>
        <w:right w:val="none" w:sz="0" w:space="0" w:color="auto"/>
      </w:divBdr>
    </w:div>
    <w:div w:id="1933850579">
      <w:bodyDiv w:val="1"/>
      <w:marLeft w:val="0"/>
      <w:marRight w:val="0"/>
      <w:marTop w:val="0"/>
      <w:marBottom w:val="0"/>
      <w:divBdr>
        <w:top w:val="none" w:sz="0" w:space="0" w:color="auto"/>
        <w:left w:val="none" w:sz="0" w:space="0" w:color="auto"/>
        <w:bottom w:val="none" w:sz="0" w:space="0" w:color="auto"/>
        <w:right w:val="none" w:sz="0" w:space="0" w:color="auto"/>
      </w:divBdr>
    </w:div>
    <w:div w:id="1935622754">
      <w:bodyDiv w:val="1"/>
      <w:marLeft w:val="0"/>
      <w:marRight w:val="0"/>
      <w:marTop w:val="0"/>
      <w:marBottom w:val="0"/>
      <w:divBdr>
        <w:top w:val="none" w:sz="0" w:space="0" w:color="auto"/>
        <w:left w:val="none" w:sz="0" w:space="0" w:color="auto"/>
        <w:bottom w:val="none" w:sz="0" w:space="0" w:color="auto"/>
        <w:right w:val="none" w:sz="0" w:space="0" w:color="auto"/>
      </w:divBdr>
    </w:div>
    <w:div w:id="1939606096">
      <w:bodyDiv w:val="1"/>
      <w:marLeft w:val="0"/>
      <w:marRight w:val="0"/>
      <w:marTop w:val="0"/>
      <w:marBottom w:val="0"/>
      <w:divBdr>
        <w:top w:val="none" w:sz="0" w:space="0" w:color="auto"/>
        <w:left w:val="none" w:sz="0" w:space="0" w:color="auto"/>
        <w:bottom w:val="none" w:sz="0" w:space="0" w:color="auto"/>
        <w:right w:val="none" w:sz="0" w:space="0" w:color="auto"/>
      </w:divBdr>
    </w:div>
    <w:div w:id="1939629953">
      <w:bodyDiv w:val="1"/>
      <w:marLeft w:val="0"/>
      <w:marRight w:val="0"/>
      <w:marTop w:val="0"/>
      <w:marBottom w:val="0"/>
      <w:divBdr>
        <w:top w:val="none" w:sz="0" w:space="0" w:color="auto"/>
        <w:left w:val="none" w:sz="0" w:space="0" w:color="auto"/>
        <w:bottom w:val="none" w:sz="0" w:space="0" w:color="auto"/>
        <w:right w:val="none" w:sz="0" w:space="0" w:color="auto"/>
      </w:divBdr>
    </w:div>
    <w:div w:id="1940987892">
      <w:bodyDiv w:val="1"/>
      <w:marLeft w:val="0"/>
      <w:marRight w:val="0"/>
      <w:marTop w:val="0"/>
      <w:marBottom w:val="0"/>
      <w:divBdr>
        <w:top w:val="none" w:sz="0" w:space="0" w:color="auto"/>
        <w:left w:val="none" w:sz="0" w:space="0" w:color="auto"/>
        <w:bottom w:val="none" w:sz="0" w:space="0" w:color="auto"/>
        <w:right w:val="none" w:sz="0" w:space="0" w:color="auto"/>
      </w:divBdr>
    </w:div>
    <w:div w:id="1942568980">
      <w:bodyDiv w:val="1"/>
      <w:marLeft w:val="0"/>
      <w:marRight w:val="0"/>
      <w:marTop w:val="0"/>
      <w:marBottom w:val="0"/>
      <w:divBdr>
        <w:top w:val="none" w:sz="0" w:space="0" w:color="auto"/>
        <w:left w:val="none" w:sz="0" w:space="0" w:color="auto"/>
        <w:bottom w:val="none" w:sz="0" w:space="0" w:color="auto"/>
        <w:right w:val="none" w:sz="0" w:space="0" w:color="auto"/>
      </w:divBdr>
    </w:div>
    <w:div w:id="1943613174">
      <w:bodyDiv w:val="1"/>
      <w:marLeft w:val="0"/>
      <w:marRight w:val="0"/>
      <w:marTop w:val="0"/>
      <w:marBottom w:val="0"/>
      <w:divBdr>
        <w:top w:val="none" w:sz="0" w:space="0" w:color="auto"/>
        <w:left w:val="none" w:sz="0" w:space="0" w:color="auto"/>
        <w:bottom w:val="none" w:sz="0" w:space="0" w:color="auto"/>
        <w:right w:val="none" w:sz="0" w:space="0" w:color="auto"/>
      </w:divBdr>
    </w:div>
    <w:div w:id="1944991756">
      <w:bodyDiv w:val="1"/>
      <w:marLeft w:val="0"/>
      <w:marRight w:val="0"/>
      <w:marTop w:val="0"/>
      <w:marBottom w:val="0"/>
      <w:divBdr>
        <w:top w:val="none" w:sz="0" w:space="0" w:color="auto"/>
        <w:left w:val="none" w:sz="0" w:space="0" w:color="auto"/>
        <w:bottom w:val="none" w:sz="0" w:space="0" w:color="auto"/>
        <w:right w:val="none" w:sz="0" w:space="0" w:color="auto"/>
      </w:divBdr>
    </w:div>
    <w:div w:id="1946036021">
      <w:bodyDiv w:val="1"/>
      <w:marLeft w:val="0"/>
      <w:marRight w:val="0"/>
      <w:marTop w:val="0"/>
      <w:marBottom w:val="0"/>
      <w:divBdr>
        <w:top w:val="none" w:sz="0" w:space="0" w:color="auto"/>
        <w:left w:val="none" w:sz="0" w:space="0" w:color="auto"/>
        <w:bottom w:val="none" w:sz="0" w:space="0" w:color="auto"/>
        <w:right w:val="none" w:sz="0" w:space="0" w:color="auto"/>
      </w:divBdr>
    </w:div>
    <w:div w:id="1947030967">
      <w:bodyDiv w:val="1"/>
      <w:marLeft w:val="0"/>
      <w:marRight w:val="0"/>
      <w:marTop w:val="0"/>
      <w:marBottom w:val="0"/>
      <w:divBdr>
        <w:top w:val="none" w:sz="0" w:space="0" w:color="auto"/>
        <w:left w:val="none" w:sz="0" w:space="0" w:color="auto"/>
        <w:bottom w:val="none" w:sz="0" w:space="0" w:color="auto"/>
        <w:right w:val="none" w:sz="0" w:space="0" w:color="auto"/>
      </w:divBdr>
    </w:div>
    <w:div w:id="1947880367">
      <w:bodyDiv w:val="1"/>
      <w:marLeft w:val="0"/>
      <w:marRight w:val="0"/>
      <w:marTop w:val="0"/>
      <w:marBottom w:val="0"/>
      <w:divBdr>
        <w:top w:val="none" w:sz="0" w:space="0" w:color="auto"/>
        <w:left w:val="none" w:sz="0" w:space="0" w:color="auto"/>
        <w:bottom w:val="none" w:sz="0" w:space="0" w:color="auto"/>
        <w:right w:val="none" w:sz="0" w:space="0" w:color="auto"/>
      </w:divBdr>
    </w:div>
    <w:div w:id="1947888815">
      <w:bodyDiv w:val="1"/>
      <w:marLeft w:val="0"/>
      <w:marRight w:val="0"/>
      <w:marTop w:val="0"/>
      <w:marBottom w:val="0"/>
      <w:divBdr>
        <w:top w:val="none" w:sz="0" w:space="0" w:color="auto"/>
        <w:left w:val="none" w:sz="0" w:space="0" w:color="auto"/>
        <w:bottom w:val="none" w:sz="0" w:space="0" w:color="auto"/>
        <w:right w:val="none" w:sz="0" w:space="0" w:color="auto"/>
      </w:divBdr>
    </w:div>
    <w:div w:id="1948923030">
      <w:bodyDiv w:val="1"/>
      <w:marLeft w:val="0"/>
      <w:marRight w:val="0"/>
      <w:marTop w:val="0"/>
      <w:marBottom w:val="0"/>
      <w:divBdr>
        <w:top w:val="none" w:sz="0" w:space="0" w:color="auto"/>
        <w:left w:val="none" w:sz="0" w:space="0" w:color="auto"/>
        <w:bottom w:val="none" w:sz="0" w:space="0" w:color="auto"/>
        <w:right w:val="none" w:sz="0" w:space="0" w:color="auto"/>
      </w:divBdr>
    </w:div>
    <w:div w:id="1949115411">
      <w:bodyDiv w:val="1"/>
      <w:marLeft w:val="0"/>
      <w:marRight w:val="0"/>
      <w:marTop w:val="0"/>
      <w:marBottom w:val="0"/>
      <w:divBdr>
        <w:top w:val="none" w:sz="0" w:space="0" w:color="auto"/>
        <w:left w:val="none" w:sz="0" w:space="0" w:color="auto"/>
        <w:bottom w:val="none" w:sz="0" w:space="0" w:color="auto"/>
        <w:right w:val="none" w:sz="0" w:space="0" w:color="auto"/>
      </w:divBdr>
    </w:div>
    <w:div w:id="1952393348">
      <w:bodyDiv w:val="1"/>
      <w:marLeft w:val="0"/>
      <w:marRight w:val="0"/>
      <w:marTop w:val="0"/>
      <w:marBottom w:val="0"/>
      <w:divBdr>
        <w:top w:val="none" w:sz="0" w:space="0" w:color="auto"/>
        <w:left w:val="none" w:sz="0" w:space="0" w:color="auto"/>
        <w:bottom w:val="none" w:sz="0" w:space="0" w:color="auto"/>
        <w:right w:val="none" w:sz="0" w:space="0" w:color="auto"/>
      </w:divBdr>
    </w:div>
    <w:div w:id="1954439933">
      <w:bodyDiv w:val="1"/>
      <w:marLeft w:val="0"/>
      <w:marRight w:val="0"/>
      <w:marTop w:val="0"/>
      <w:marBottom w:val="0"/>
      <w:divBdr>
        <w:top w:val="none" w:sz="0" w:space="0" w:color="auto"/>
        <w:left w:val="none" w:sz="0" w:space="0" w:color="auto"/>
        <w:bottom w:val="none" w:sz="0" w:space="0" w:color="auto"/>
        <w:right w:val="none" w:sz="0" w:space="0" w:color="auto"/>
      </w:divBdr>
    </w:div>
    <w:div w:id="1959070688">
      <w:bodyDiv w:val="1"/>
      <w:marLeft w:val="0"/>
      <w:marRight w:val="0"/>
      <w:marTop w:val="0"/>
      <w:marBottom w:val="0"/>
      <w:divBdr>
        <w:top w:val="none" w:sz="0" w:space="0" w:color="auto"/>
        <w:left w:val="none" w:sz="0" w:space="0" w:color="auto"/>
        <w:bottom w:val="none" w:sz="0" w:space="0" w:color="auto"/>
        <w:right w:val="none" w:sz="0" w:space="0" w:color="auto"/>
      </w:divBdr>
    </w:div>
    <w:div w:id="1963025999">
      <w:bodyDiv w:val="1"/>
      <w:marLeft w:val="0"/>
      <w:marRight w:val="0"/>
      <w:marTop w:val="0"/>
      <w:marBottom w:val="0"/>
      <w:divBdr>
        <w:top w:val="none" w:sz="0" w:space="0" w:color="auto"/>
        <w:left w:val="none" w:sz="0" w:space="0" w:color="auto"/>
        <w:bottom w:val="none" w:sz="0" w:space="0" w:color="auto"/>
        <w:right w:val="none" w:sz="0" w:space="0" w:color="auto"/>
      </w:divBdr>
    </w:div>
    <w:div w:id="1963685474">
      <w:bodyDiv w:val="1"/>
      <w:marLeft w:val="0"/>
      <w:marRight w:val="0"/>
      <w:marTop w:val="0"/>
      <w:marBottom w:val="0"/>
      <w:divBdr>
        <w:top w:val="none" w:sz="0" w:space="0" w:color="auto"/>
        <w:left w:val="none" w:sz="0" w:space="0" w:color="auto"/>
        <w:bottom w:val="none" w:sz="0" w:space="0" w:color="auto"/>
        <w:right w:val="none" w:sz="0" w:space="0" w:color="auto"/>
      </w:divBdr>
    </w:div>
    <w:div w:id="1964266642">
      <w:bodyDiv w:val="1"/>
      <w:marLeft w:val="0"/>
      <w:marRight w:val="0"/>
      <w:marTop w:val="0"/>
      <w:marBottom w:val="0"/>
      <w:divBdr>
        <w:top w:val="none" w:sz="0" w:space="0" w:color="auto"/>
        <w:left w:val="none" w:sz="0" w:space="0" w:color="auto"/>
        <w:bottom w:val="none" w:sz="0" w:space="0" w:color="auto"/>
        <w:right w:val="none" w:sz="0" w:space="0" w:color="auto"/>
      </w:divBdr>
    </w:div>
    <w:div w:id="1965500667">
      <w:bodyDiv w:val="1"/>
      <w:marLeft w:val="0"/>
      <w:marRight w:val="0"/>
      <w:marTop w:val="0"/>
      <w:marBottom w:val="0"/>
      <w:divBdr>
        <w:top w:val="none" w:sz="0" w:space="0" w:color="auto"/>
        <w:left w:val="none" w:sz="0" w:space="0" w:color="auto"/>
        <w:bottom w:val="none" w:sz="0" w:space="0" w:color="auto"/>
        <w:right w:val="none" w:sz="0" w:space="0" w:color="auto"/>
      </w:divBdr>
    </w:div>
    <w:div w:id="1971279748">
      <w:bodyDiv w:val="1"/>
      <w:marLeft w:val="0"/>
      <w:marRight w:val="0"/>
      <w:marTop w:val="0"/>
      <w:marBottom w:val="0"/>
      <w:divBdr>
        <w:top w:val="none" w:sz="0" w:space="0" w:color="auto"/>
        <w:left w:val="none" w:sz="0" w:space="0" w:color="auto"/>
        <w:bottom w:val="none" w:sz="0" w:space="0" w:color="auto"/>
        <w:right w:val="none" w:sz="0" w:space="0" w:color="auto"/>
      </w:divBdr>
    </w:div>
    <w:div w:id="1973052047">
      <w:bodyDiv w:val="1"/>
      <w:marLeft w:val="0"/>
      <w:marRight w:val="0"/>
      <w:marTop w:val="0"/>
      <w:marBottom w:val="0"/>
      <w:divBdr>
        <w:top w:val="none" w:sz="0" w:space="0" w:color="auto"/>
        <w:left w:val="none" w:sz="0" w:space="0" w:color="auto"/>
        <w:bottom w:val="none" w:sz="0" w:space="0" w:color="auto"/>
        <w:right w:val="none" w:sz="0" w:space="0" w:color="auto"/>
      </w:divBdr>
    </w:div>
    <w:div w:id="1973241557">
      <w:bodyDiv w:val="1"/>
      <w:marLeft w:val="0"/>
      <w:marRight w:val="0"/>
      <w:marTop w:val="0"/>
      <w:marBottom w:val="0"/>
      <w:divBdr>
        <w:top w:val="none" w:sz="0" w:space="0" w:color="auto"/>
        <w:left w:val="none" w:sz="0" w:space="0" w:color="auto"/>
        <w:bottom w:val="none" w:sz="0" w:space="0" w:color="auto"/>
        <w:right w:val="none" w:sz="0" w:space="0" w:color="auto"/>
      </w:divBdr>
    </w:div>
    <w:div w:id="1976136444">
      <w:bodyDiv w:val="1"/>
      <w:marLeft w:val="0"/>
      <w:marRight w:val="0"/>
      <w:marTop w:val="0"/>
      <w:marBottom w:val="0"/>
      <w:divBdr>
        <w:top w:val="none" w:sz="0" w:space="0" w:color="auto"/>
        <w:left w:val="none" w:sz="0" w:space="0" w:color="auto"/>
        <w:bottom w:val="none" w:sz="0" w:space="0" w:color="auto"/>
        <w:right w:val="none" w:sz="0" w:space="0" w:color="auto"/>
      </w:divBdr>
    </w:div>
    <w:div w:id="1976912430">
      <w:bodyDiv w:val="1"/>
      <w:marLeft w:val="0"/>
      <w:marRight w:val="0"/>
      <w:marTop w:val="0"/>
      <w:marBottom w:val="0"/>
      <w:divBdr>
        <w:top w:val="none" w:sz="0" w:space="0" w:color="auto"/>
        <w:left w:val="none" w:sz="0" w:space="0" w:color="auto"/>
        <w:bottom w:val="none" w:sz="0" w:space="0" w:color="auto"/>
        <w:right w:val="none" w:sz="0" w:space="0" w:color="auto"/>
      </w:divBdr>
    </w:div>
    <w:div w:id="1977682926">
      <w:bodyDiv w:val="1"/>
      <w:marLeft w:val="0"/>
      <w:marRight w:val="0"/>
      <w:marTop w:val="0"/>
      <w:marBottom w:val="0"/>
      <w:divBdr>
        <w:top w:val="none" w:sz="0" w:space="0" w:color="auto"/>
        <w:left w:val="none" w:sz="0" w:space="0" w:color="auto"/>
        <w:bottom w:val="none" w:sz="0" w:space="0" w:color="auto"/>
        <w:right w:val="none" w:sz="0" w:space="0" w:color="auto"/>
      </w:divBdr>
    </w:div>
    <w:div w:id="1977907924">
      <w:bodyDiv w:val="1"/>
      <w:marLeft w:val="0"/>
      <w:marRight w:val="0"/>
      <w:marTop w:val="0"/>
      <w:marBottom w:val="0"/>
      <w:divBdr>
        <w:top w:val="none" w:sz="0" w:space="0" w:color="auto"/>
        <w:left w:val="none" w:sz="0" w:space="0" w:color="auto"/>
        <w:bottom w:val="none" w:sz="0" w:space="0" w:color="auto"/>
        <w:right w:val="none" w:sz="0" w:space="0" w:color="auto"/>
      </w:divBdr>
    </w:div>
    <w:div w:id="1978875231">
      <w:bodyDiv w:val="1"/>
      <w:marLeft w:val="0"/>
      <w:marRight w:val="0"/>
      <w:marTop w:val="0"/>
      <w:marBottom w:val="0"/>
      <w:divBdr>
        <w:top w:val="none" w:sz="0" w:space="0" w:color="auto"/>
        <w:left w:val="none" w:sz="0" w:space="0" w:color="auto"/>
        <w:bottom w:val="none" w:sz="0" w:space="0" w:color="auto"/>
        <w:right w:val="none" w:sz="0" w:space="0" w:color="auto"/>
      </w:divBdr>
    </w:div>
    <w:div w:id="1980451810">
      <w:bodyDiv w:val="1"/>
      <w:marLeft w:val="0"/>
      <w:marRight w:val="0"/>
      <w:marTop w:val="0"/>
      <w:marBottom w:val="0"/>
      <w:divBdr>
        <w:top w:val="none" w:sz="0" w:space="0" w:color="auto"/>
        <w:left w:val="none" w:sz="0" w:space="0" w:color="auto"/>
        <w:bottom w:val="none" w:sz="0" w:space="0" w:color="auto"/>
        <w:right w:val="none" w:sz="0" w:space="0" w:color="auto"/>
      </w:divBdr>
    </w:div>
    <w:div w:id="1981494978">
      <w:bodyDiv w:val="1"/>
      <w:marLeft w:val="0"/>
      <w:marRight w:val="0"/>
      <w:marTop w:val="0"/>
      <w:marBottom w:val="0"/>
      <w:divBdr>
        <w:top w:val="none" w:sz="0" w:space="0" w:color="auto"/>
        <w:left w:val="none" w:sz="0" w:space="0" w:color="auto"/>
        <w:bottom w:val="none" w:sz="0" w:space="0" w:color="auto"/>
        <w:right w:val="none" w:sz="0" w:space="0" w:color="auto"/>
      </w:divBdr>
    </w:div>
    <w:div w:id="1982612061">
      <w:bodyDiv w:val="1"/>
      <w:marLeft w:val="0"/>
      <w:marRight w:val="0"/>
      <w:marTop w:val="0"/>
      <w:marBottom w:val="0"/>
      <w:divBdr>
        <w:top w:val="none" w:sz="0" w:space="0" w:color="auto"/>
        <w:left w:val="none" w:sz="0" w:space="0" w:color="auto"/>
        <w:bottom w:val="none" w:sz="0" w:space="0" w:color="auto"/>
        <w:right w:val="none" w:sz="0" w:space="0" w:color="auto"/>
      </w:divBdr>
    </w:div>
    <w:div w:id="1985625375">
      <w:bodyDiv w:val="1"/>
      <w:marLeft w:val="0"/>
      <w:marRight w:val="0"/>
      <w:marTop w:val="0"/>
      <w:marBottom w:val="0"/>
      <w:divBdr>
        <w:top w:val="none" w:sz="0" w:space="0" w:color="auto"/>
        <w:left w:val="none" w:sz="0" w:space="0" w:color="auto"/>
        <w:bottom w:val="none" w:sz="0" w:space="0" w:color="auto"/>
        <w:right w:val="none" w:sz="0" w:space="0" w:color="auto"/>
      </w:divBdr>
    </w:div>
    <w:div w:id="1986735455">
      <w:bodyDiv w:val="1"/>
      <w:marLeft w:val="0"/>
      <w:marRight w:val="0"/>
      <w:marTop w:val="0"/>
      <w:marBottom w:val="0"/>
      <w:divBdr>
        <w:top w:val="none" w:sz="0" w:space="0" w:color="auto"/>
        <w:left w:val="none" w:sz="0" w:space="0" w:color="auto"/>
        <w:bottom w:val="none" w:sz="0" w:space="0" w:color="auto"/>
        <w:right w:val="none" w:sz="0" w:space="0" w:color="auto"/>
      </w:divBdr>
    </w:div>
    <w:div w:id="1988851698">
      <w:bodyDiv w:val="1"/>
      <w:marLeft w:val="0"/>
      <w:marRight w:val="0"/>
      <w:marTop w:val="0"/>
      <w:marBottom w:val="0"/>
      <w:divBdr>
        <w:top w:val="none" w:sz="0" w:space="0" w:color="auto"/>
        <w:left w:val="none" w:sz="0" w:space="0" w:color="auto"/>
        <w:bottom w:val="none" w:sz="0" w:space="0" w:color="auto"/>
        <w:right w:val="none" w:sz="0" w:space="0" w:color="auto"/>
      </w:divBdr>
    </w:div>
    <w:div w:id="1990399407">
      <w:bodyDiv w:val="1"/>
      <w:marLeft w:val="0"/>
      <w:marRight w:val="0"/>
      <w:marTop w:val="0"/>
      <w:marBottom w:val="0"/>
      <w:divBdr>
        <w:top w:val="none" w:sz="0" w:space="0" w:color="auto"/>
        <w:left w:val="none" w:sz="0" w:space="0" w:color="auto"/>
        <w:bottom w:val="none" w:sz="0" w:space="0" w:color="auto"/>
        <w:right w:val="none" w:sz="0" w:space="0" w:color="auto"/>
      </w:divBdr>
    </w:div>
    <w:div w:id="1990941826">
      <w:bodyDiv w:val="1"/>
      <w:marLeft w:val="0"/>
      <w:marRight w:val="0"/>
      <w:marTop w:val="0"/>
      <w:marBottom w:val="0"/>
      <w:divBdr>
        <w:top w:val="none" w:sz="0" w:space="0" w:color="auto"/>
        <w:left w:val="none" w:sz="0" w:space="0" w:color="auto"/>
        <w:bottom w:val="none" w:sz="0" w:space="0" w:color="auto"/>
        <w:right w:val="none" w:sz="0" w:space="0" w:color="auto"/>
      </w:divBdr>
    </w:div>
    <w:div w:id="1991866667">
      <w:bodyDiv w:val="1"/>
      <w:marLeft w:val="0"/>
      <w:marRight w:val="0"/>
      <w:marTop w:val="0"/>
      <w:marBottom w:val="0"/>
      <w:divBdr>
        <w:top w:val="none" w:sz="0" w:space="0" w:color="auto"/>
        <w:left w:val="none" w:sz="0" w:space="0" w:color="auto"/>
        <w:bottom w:val="none" w:sz="0" w:space="0" w:color="auto"/>
        <w:right w:val="none" w:sz="0" w:space="0" w:color="auto"/>
      </w:divBdr>
    </w:div>
    <w:div w:id="1993216290">
      <w:bodyDiv w:val="1"/>
      <w:marLeft w:val="0"/>
      <w:marRight w:val="0"/>
      <w:marTop w:val="0"/>
      <w:marBottom w:val="0"/>
      <w:divBdr>
        <w:top w:val="none" w:sz="0" w:space="0" w:color="auto"/>
        <w:left w:val="none" w:sz="0" w:space="0" w:color="auto"/>
        <w:bottom w:val="none" w:sz="0" w:space="0" w:color="auto"/>
        <w:right w:val="none" w:sz="0" w:space="0" w:color="auto"/>
      </w:divBdr>
    </w:div>
    <w:div w:id="1994215684">
      <w:bodyDiv w:val="1"/>
      <w:marLeft w:val="0"/>
      <w:marRight w:val="0"/>
      <w:marTop w:val="0"/>
      <w:marBottom w:val="0"/>
      <w:divBdr>
        <w:top w:val="none" w:sz="0" w:space="0" w:color="auto"/>
        <w:left w:val="none" w:sz="0" w:space="0" w:color="auto"/>
        <w:bottom w:val="none" w:sz="0" w:space="0" w:color="auto"/>
        <w:right w:val="none" w:sz="0" w:space="0" w:color="auto"/>
      </w:divBdr>
    </w:div>
    <w:div w:id="1994527981">
      <w:bodyDiv w:val="1"/>
      <w:marLeft w:val="0"/>
      <w:marRight w:val="0"/>
      <w:marTop w:val="0"/>
      <w:marBottom w:val="0"/>
      <w:divBdr>
        <w:top w:val="none" w:sz="0" w:space="0" w:color="auto"/>
        <w:left w:val="none" w:sz="0" w:space="0" w:color="auto"/>
        <w:bottom w:val="none" w:sz="0" w:space="0" w:color="auto"/>
        <w:right w:val="none" w:sz="0" w:space="0" w:color="auto"/>
      </w:divBdr>
    </w:div>
    <w:div w:id="1998417003">
      <w:bodyDiv w:val="1"/>
      <w:marLeft w:val="0"/>
      <w:marRight w:val="0"/>
      <w:marTop w:val="0"/>
      <w:marBottom w:val="0"/>
      <w:divBdr>
        <w:top w:val="none" w:sz="0" w:space="0" w:color="auto"/>
        <w:left w:val="none" w:sz="0" w:space="0" w:color="auto"/>
        <w:bottom w:val="none" w:sz="0" w:space="0" w:color="auto"/>
        <w:right w:val="none" w:sz="0" w:space="0" w:color="auto"/>
      </w:divBdr>
    </w:div>
    <w:div w:id="2003266171">
      <w:bodyDiv w:val="1"/>
      <w:marLeft w:val="0"/>
      <w:marRight w:val="0"/>
      <w:marTop w:val="0"/>
      <w:marBottom w:val="0"/>
      <w:divBdr>
        <w:top w:val="none" w:sz="0" w:space="0" w:color="auto"/>
        <w:left w:val="none" w:sz="0" w:space="0" w:color="auto"/>
        <w:bottom w:val="none" w:sz="0" w:space="0" w:color="auto"/>
        <w:right w:val="none" w:sz="0" w:space="0" w:color="auto"/>
      </w:divBdr>
    </w:div>
    <w:div w:id="2005014253">
      <w:bodyDiv w:val="1"/>
      <w:marLeft w:val="0"/>
      <w:marRight w:val="0"/>
      <w:marTop w:val="0"/>
      <w:marBottom w:val="0"/>
      <w:divBdr>
        <w:top w:val="none" w:sz="0" w:space="0" w:color="auto"/>
        <w:left w:val="none" w:sz="0" w:space="0" w:color="auto"/>
        <w:bottom w:val="none" w:sz="0" w:space="0" w:color="auto"/>
        <w:right w:val="none" w:sz="0" w:space="0" w:color="auto"/>
      </w:divBdr>
    </w:div>
    <w:div w:id="2006474150">
      <w:bodyDiv w:val="1"/>
      <w:marLeft w:val="0"/>
      <w:marRight w:val="0"/>
      <w:marTop w:val="0"/>
      <w:marBottom w:val="0"/>
      <w:divBdr>
        <w:top w:val="none" w:sz="0" w:space="0" w:color="auto"/>
        <w:left w:val="none" w:sz="0" w:space="0" w:color="auto"/>
        <w:bottom w:val="none" w:sz="0" w:space="0" w:color="auto"/>
        <w:right w:val="none" w:sz="0" w:space="0" w:color="auto"/>
      </w:divBdr>
    </w:div>
    <w:div w:id="2007778029">
      <w:bodyDiv w:val="1"/>
      <w:marLeft w:val="0"/>
      <w:marRight w:val="0"/>
      <w:marTop w:val="0"/>
      <w:marBottom w:val="0"/>
      <w:divBdr>
        <w:top w:val="none" w:sz="0" w:space="0" w:color="auto"/>
        <w:left w:val="none" w:sz="0" w:space="0" w:color="auto"/>
        <w:bottom w:val="none" w:sz="0" w:space="0" w:color="auto"/>
        <w:right w:val="none" w:sz="0" w:space="0" w:color="auto"/>
      </w:divBdr>
    </w:div>
    <w:div w:id="2008172750">
      <w:bodyDiv w:val="1"/>
      <w:marLeft w:val="0"/>
      <w:marRight w:val="0"/>
      <w:marTop w:val="0"/>
      <w:marBottom w:val="0"/>
      <w:divBdr>
        <w:top w:val="none" w:sz="0" w:space="0" w:color="auto"/>
        <w:left w:val="none" w:sz="0" w:space="0" w:color="auto"/>
        <w:bottom w:val="none" w:sz="0" w:space="0" w:color="auto"/>
        <w:right w:val="none" w:sz="0" w:space="0" w:color="auto"/>
      </w:divBdr>
    </w:div>
    <w:div w:id="2008820925">
      <w:bodyDiv w:val="1"/>
      <w:marLeft w:val="0"/>
      <w:marRight w:val="0"/>
      <w:marTop w:val="0"/>
      <w:marBottom w:val="0"/>
      <w:divBdr>
        <w:top w:val="none" w:sz="0" w:space="0" w:color="auto"/>
        <w:left w:val="none" w:sz="0" w:space="0" w:color="auto"/>
        <w:bottom w:val="none" w:sz="0" w:space="0" w:color="auto"/>
        <w:right w:val="none" w:sz="0" w:space="0" w:color="auto"/>
      </w:divBdr>
    </w:div>
    <w:div w:id="2010516936">
      <w:bodyDiv w:val="1"/>
      <w:marLeft w:val="0"/>
      <w:marRight w:val="0"/>
      <w:marTop w:val="0"/>
      <w:marBottom w:val="0"/>
      <w:divBdr>
        <w:top w:val="none" w:sz="0" w:space="0" w:color="auto"/>
        <w:left w:val="none" w:sz="0" w:space="0" w:color="auto"/>
        <w:bottom w:val="none" w:sz="0" w:space="0" w:color="auto"/>
        <w:right w:val="none" w:sz="0" w:space="0" w:color="auto"/>
      </w:divBdr>
    </w:div>
    <w:div w:id="2010786485">
      <w:bodyDiv w:val="1"/>
      <w:marLeft w:val="0"/>
      <w:marRight w:val="0"/>
      <w:marTop w:val="0"/>
      <w:marBottom w:val="0"/>
      <w:divBdr>
        <w:top w:val="none" w:sz="0" w:space="0" w:color="auto"/>
        <w:left w:val="none" w:sz="0" w:space="0" w:color="auto"/>
        <w:bottom w:val="none" w:sz="0" w:space="0" w:color="auto"/>
        <w:right w:val="none" w:sz="0" w:space="0" w:color="auto"/>
      </w:divBdr>
    </w:div>
    <w:div w:id="2011130056">
      <w:bodyDiv w:val="1"/>
      <w:marLeft w:val="0"/>
      <w:marRight w:val="0"/>
      <w:marTop w:val="0"/>
      <w:marBottom w:val="0"/>
      <w:divBdr>
        <w:top w:val="none" w:sz="0" w:space="0" w:color="auto"/>
        <w:left w:val="none" w:sz="0" w:space="0" w:color="auto"/>
        <w:bottom w:val="none" w:sz="0" w:space="0" w:color="auto"/>
        <w:right w:val="none" w:sz="0" w:space="0" w:color="auto"/>
      </w:divBdr>
    </w:div>
    <w:div w:id="2012441092">
      <w:bodyDiv w:val="1"/>
      <w:marLeft w:val="0"/>
      <w:marRight w:val="0"/>
      <w:marTop w:val="0"/>
      <w:marBottom w:val="0"/>
      <w:divBdr>
        <w:top w:val="none" w:sz="0" w:space="0" w:color="auto"/>
        <w:left w:val="none" w:sz="0" w:space="0" w:color="auto"/>
        <w:bottom w:val="none" w:sz="0" w:space="0" w:color="auto"/>
        <w:right w:val="none" w:sz="0" w:space="0" w:color="auto"/>
      </w:divBdr>
    </w:div>
    <w:div w:id="2014338294">
      <w:bodyDiv w:val="1"/>
      <w:marLeft w:val="0"/>
      <w:marRight w:val="0"/>
      <w:marTop w:val="0"/>
      <w:marBottom w:val="0"/>
      <w:divBdr>
        <w:top w:val="none" w:sz="0" w:space="0" w:color="auto"/>
        <w:left w:val="none" w:sz="0" w:space="0" w:color="auto"/>
        <w:bottom w:val="none" w:sz="0" w:space="0" w:color="auto"/>
        <w:right w:val="none" w:sz="0" w:space="0" w:color="auto"/>
      </w:divBdr>
    </w:div>
    <w:div w:id="2014718098">
      <w:bodyDiv w:val="1"/>
      <w:marLeft w:val="0"/>
      <w:marRight w:val="0"/>
      <w:marTop w:val="0"/>
      <w:marBottom w:val="0"/>
      <w:divBdr>
        <w:top w:val="none" w:sz="0" w:space="0" w:color="auto"/>
        <w:left w:val="none" w:sz="0" w:space="0" w:color="auto"/>
        <w:bottom w:val="none" w:sz="0" w:space="0" w:color="auto"/>
        <w:right w:val="none" w:sz="0" w:space="0" w:color="auto"/>
      </w:divBdr>
    </w:div>
    <w:div w:id="2018001237">
      <w:bodyDiv w:val="1"/>
      <w:marLeft w:val="0"/>
      <w:marRight w:val="0"/>
      <w:marTop w:val="0"/>
      <w:marBottom w:val="0"/>
      <w:divBdr>
        <w:top w:val="none" w:sz="0" w:space="0" w:color="auto"/>
        <w:left w:val="none" w:sz="0" w:space="0" w:color="auto"/>
        <w:bottom w:val="none" w:sz="0" w:space="0" w:color="auto"/>
        <w:right w:val="none" w:sz="0" w:space="0" w:color="auto"/>
      </w:divBdr>
    </w:div>
    <w:div w:id="2018070495">
      <w:bodyDiv w:val="1"/>
      <w:marLeft w:val="0"/>
      <w:marRight w:val="0"/>
      <w:marTop w:val="0"/>
      <w:marBottom w:val="0"/>
      <w:divBdr>
        <w:top w:val="none" w:sz="0" w:space="0" w:color="auto"/>
        <w:left w:val="none" w:sz="0" w:space="0" w:color="auto"/>
        <w:bottom w:val="none" w:sz="0" w:space="0" w:color="auto"/>
        <w:right w:val="none" w:sz="0" w:space="0" w:color="auto"/>
      </w:divBdr>
    </w:div>
    <w:div w:id="2018456550">
      <w:bodyDiv w:val="1"/>
      <w:marLeft w:val="0"/>
      <w:marRight w:val="0"/>
      <w:marTop w:val="0"/>
      <w:marBottom w:val="0"/>
      <w:divBdr>
        <w:top w:val="none" w:sz="0" w:space="0" w:color="auto"/>
        <w:left w:val="none" w:sz="0" w:space="0" w:color="auto"/>
        <w:bottom w:val="none" w:sz="0" w:space="0" w:color="auto"/>
        <w:right w:val="none" w:sz="0" w:space="0" w:color="auto"/>
      </w:divBdr>
    </w:div>
    <w:div w:id="2019497615">
      <w:bodyDiv w:val="1"/>
      <w:marLeft w:val="0"/>
      <w:marRight w:val="0"/>
      <w:marTop w:val="0"/>
      <w:marBottom w:val="0"/>
      <w:divBdr>
        <w:top w:val="none" w:sz="0" w:space="0" w:color="auto"/>
        <w:left w:val="none" w:sz="0" w:space="0" w:color="auto"/>
        <w:bottom w:val="none" w:sz="0" w:space="0" w:color="auto"/>
        <w:right w:val="none" w:sz="0" w:space="0" w:color="auto"/>
      </w:divBdr>
    </w:div>
    <w:div w:id="2019505159">
      <w:bodyDiv w:val="1"/>
      <w:marLeft w:val="0"/>
      <w:marRight w:val="0"/>
      <w:marTop w:val="0"/>
      <w:marBottom w:val="0"/>
      <w:divBdr>
        <w:top w:val="none" w:sz="0" w:space="0" w:color="auto"/>
        <w:left w:val="none" w:sz="0" w:space="0" w:color="auto"/>
        <w:bottom w:val="none" w:sz="0" w:space="0" w:color="auto"/>
        <w:right w:val="none" w:sz="0" w:space="0" w:color="auto"/>
      </w:divBdr>
    </w:div>
    <w:div w:id="2020038667">
      <w:bodyDiv w:val="1"/>
      <w:marLeft w:val="0"/>
      <w:marRight w:val="0"/>
      <w:marTop w:val="0"/>
      <w:marBottom w:val="0"/>
      <w:divBdr>
        <w:top w:val="none" w:sz="0" w:space="0" w:color="auto"/>
        <w:left w:val="none" w:sz="0" w:space="0" w:color="auto"/>
        <w:bottom w:val="none" w:sz="0" w:space="0" w:color="auto"/>
        <w:right w:val="none" w:sz="0" w:space="0" w:color="auto"/>
      </w:divBdr>
    </w:div>
    <w:div w:id="2020698040">
      <w:bodyDiv w:val="1"/>
      <w:marLeft w:val="0"/>
      <w:marRight w:val="0"/>
      <w:marTop w:val="0"/>
      <w:marBottom w:val="0"/>
      <w:divBdr>
        <w:top w:val="none" w:sz="0" w:space="0" w:color="auto"/>
        <w:left w:val="none" w:sz="0" w:space="0" w:color="auto"/>
        <w:bottom w:val="none" w:sz="0" w:space="0" w:color="auto"/>
        <w:right w:val="none" w:sz="0" w:space="0" w:color="auto"/>
      </w:divBdr>
    </w:div>
    <w:div w:id="2022003335">
      <w:bodyDiv w:val="1"/>
      <w:marLeft w:val="0"/>
      <w:marRight w:val="0"/>
      <w:marTop w:val="0"/>
      <w:marBottom w:val="0"/>
      <w:divBdr>
        <w:top w:val="none" w:sz="0" w:space="0" w:color="auto"/>
        <w:left w:val="none" w:sz="0" w:space="0" w:color="auto"/>
        <w:bottom w:val="none" w:sz="0" w:space="0" w:color="auto"/>
        <w:right w:val="none" w:sz="0" w:space="0" w:color="auto"/>
      </w:divBdr>
    </w:div>
    <w:div w:id="2023362503">
      <w:bodyDiv w:val="1"/>
      <w:marLeft w:val="0"/>
      <w:marRight w:val="0"/>
      <w:marTop w:val="0"/>
      <w:marBottom w:val="0"/>
      <w:divBdr>
        <w:top w:val="none" w:sz="0" w:space="0" w:color="auto"/>
        <w:left w:val="none" w:sz="0" w:space="0" w:color="auto"/>
        <w:bottom w:val="none" w:sz="0" w:space="0" w:color="auto"/>
        <w:right w:val="none" w:sz="0" w:space="0" w:color="auto"/>
      </w:divBdr>
    </w:div>
    <w:div w:id="2024433116">
      <w:bodyDiv w:val="1"/>
      <w:marLeft w:val="0"/>
      <w:marRight w:val="0"/>
      <w:marTop w:val="0"/>
      <w:marBottom w:val="0"/>
      <w:divBdr>
        <w:top w:val="none" w:sz="0" w:space="0" w:color="auto"/>
        <w:left w:val="none" w:sz="0" w:space="0" w:color="auto"/>
        <w:bottom w:val="none" w:sz="0" w:space="0" w:color="auto"/>
        <w:right w:val="none" w:sz="0" w:space="0" w:color="auto"/>
      </w:divBdr>
    </w:div>
    <w:div w:id="2027049422">
      <w:bodyDiv w:val="1"/>
      <w:marLeft w:val="0"/>
      <w:marRight w:val="0"/>
      <w:marTop w:val="0"/>
      <w:marBottom w:val="0"/>
      <w:divBdr>
        <w:top w:val="none" w:sz="0" w:space="0" w:color="auto"/>
        <w:left w:val="none" w:sz="0" w:space="0" w:color="auto"/>
        <w:bottom w:val="none" w:sz="0" w:space="0" w:color="auto"/>
        <w:right w:val="none" w:sz="0" w:space="0" w:color="auto"/>
      </w:divBdr>
    </w:div>
    <w:div w:id="2028021753">
      <w:bodyDiv w:val="1"/>
      <w:marLeft w:val="0"/>
      <w:marRight w:val="0"/>
      <w:marTop w:val="0"/>
      <w:marBottom w:val="0"/>
      <w:divBdr>
        <w:top w:val="none" w:sz="0" w:space="0" w:color="auto"/>
        <w:left w:val="none" w:sz="0" w:space="0" w:color="auto"/>
        <w:bottom w:val="none" w:sz="0" w:space="0" w:color="auto"/>
        <w:right w:val="none" w:sz="0" w:space="0" w:color="auto"/>
      </w:divBdr>
    </w:div>
    <w:div w:id="2028939926">
      <w:bodyDiv w:val="1"/>
      <w:marLeft w:val="0"/>
      <w:marRight w:val="0"/>
      <w:marTop w:val="0"/>
      <w:marBottom w:val="0"/>
      <w:divBdr>
        <w:top w:val="none" w:sz="0" w:space="0" w:color="auto"/>
        <w:left w:val="none" w:sz="0" w:space="0" w:color="auto"/>
        <w:bottom w:val="none" w:sz="0" w:space="0" w:color="auto"/>
        <w:right w:val="none" w:sz="0" w:space="0" w:color="auto"/>
      </w:divBdr>
    </w:div>
    <w:div w:id="2030134143">
      <w:bodyDiv w:val="1"/>
      <w:marLeft w:val="0"/>
      <w:marRight w:val="0"/>
      <w:marTop w:val="0"/>
      <w:marBottom w:val="0"/>
      <w:divBdr>
        <w:top w:val="none" w:sz="0" w:space="0" w:color="auto"/>
        <w:left w:val="none" w:sz="0" w:space="0" w:color="auto"/>
        <w:bottom w:val="none" w:sz="0" w:space="0" w:color="auto"/>
        <w:right w:val="none" w:sz="0" w:space="0" w:color="auto"/>
      </w:divBdr>
    </w:div>
    <w:div w:id="2031293025">
      <w:bodyDiv w:val="1"/>
      <w:marLeft w:val="0"/>
      <w:marRight w:val="0"/>
      <w:marTop w:val="0"/>
      <w:marBottom w:val="0"/>
      <w:divBdr>
        <w:top w:val="none" w:sz="0" w:space="0" w:color="auto"/>
        <w:left w:val="none" w:sz="0" w:space="0" w:color="auto"/>
        <w:bottom w:val="none" w:sz="0" w:space="0" w:color="auto"/>
        <w:right w:val="none" w:sz="0" w:space="0" w:color="auto"/>
      </w:divBdr>
    </w:div>
    <w:div w:id="2032797626">
      <w:bodyDiv w:val="1"/>
      <w:marLeft w:val="0"/>
      <w:marRight w:val="0"/>
      <w:marTop w:val="0"/>
      <w:marBottom w:val="0"/>
      <w:divBdr>
        <w:top w:val="none" w:sz="0" w:space="0" w:color="auto"/>
        <w:left w:val="none" w:sz="0" w:space="0" w:color="auto"/>
        <w:bottom w:val="none" w:sz="0" w:space="0" w:color="auto"/>
        <w:right w:val="none" w:sz="0" w:space="0" w:color="auto"/>
      </w:divBdr>
    </w:div>
    <w:div w:id="2033796656">
      <w:bodyDiv w:val="1"/>
      <w:marLeft w:val="0"/>
      <w:marRight w:val="0"/>
      <w:marTop w:val="0"/>
      <w:marBottom w:val="0"/>
      <w:divBdr>
        <w:top w:val="none" w:sz="0" w:space="0" w:color="auto"/>
        <w:left w:val="none" w:sz="0" w:space="0" w:color="auto"/>
        <w:bottom w:val="none" w:sz="0" w:space="0" w:color="auto"/>
        <w:right w:val="none" w:sz="0" w:space="0" w:color="auto"/>
      </w:divBdr>
    </w:div>
    <w:div w:id="2034844647">
      <w:bodyDiv w:val="1"/>
      <w:marLeft w:val="0"/>
      <w:marRight w:val="0"/>
      <w:marTop w:val="0"/>
      <w:marBottom w:val="0"/>
      <w:divBdr>
        <w:top w:val="none" w:sz="0" w:space="0" w:color="auto"/>
        <w:left w:val="none" w:sz="0" w:space="0" w:color="auto"/>
        <w:bottom w:val="none" w:sz="0" w:space="0" w:color="auto"/>
        <w:right w:val="none" w:sz="0" w:space="0" w:color="auto"/>
      </w:divBdr>
    </w:div>
    <w:div w:id="2034959200">
      <w:bodyDiv w:val="1"/>
      <w:marLeft w:val="0"/>
      <w:marRight w:val="0"/>
      <w:marTop w:val="0"/>
      <w:marBottom w:val="0"/>
      <w:divBdr>
        <w:top w:val="none" w:sz="0" w:space="0" w:color="auto"/>
        <w:left w:val="none" w:sz="0" w:space="0" w:color="auto"/>
        <w:bottom w:val="none" w:sz="0" w:space="0" w:color="auto"/>
        <w:right w:val="none" w:sz="0" w:space="0" w:color="auto"/>
      </w:divBdr>
    </w:div>
    <w:div w:id="2036035140">
      <w:bodyDiv w:val="1"/>
      <w:marLeft w:val="0"/>
      <w:marRight w:val="0"/>
      <w:marTop w:val="0"/>
      <w:marBottom w:val="0"/>
      <w:divBdr>
        <w:top w:val="none" w:sz="0" w:space="0" w:color="auto"/>
        <w:left w:val="none" w:sz="0" w:space="0" w:color="auto"/>
        <w:bottom w:val="none" w:sz="0" w:space="0" w:color="auto"/>
        <w:right w:val="none" w:sz="0" w:space="0" w:color="auto"/>
      </w:divBdr>
    </w:div>
    <w:div w:id="2037655654">
      <w:bodyDiv w:val="1"/>
      <w:marLeft w:val="0"/>
      <w:marRight w:val="0"/>
      <w:marTop w:val="0"/>
      <w:marBottom w:val="0"/>
      <w:divBdr>
        <w:top w:val="none" w:sz="0" w:space="0" w:color="auto"/>
        <w:left w:val="none" w:sz="0" w:space="0" w:color="auto"/>
        <w:bottom w:val="none" w:sz="0" w:space="0" w:color="auto"/>
        <w:right w:val="none" w:sz="0" w:space="0" w:color="auto"/>
      </w:divBdr>
    </w:div>
    <w:div w:id="2037850645">
      <w:bodyDiv w:val="1"/>
      <w:marLeft w:val="0"/>
      <w:marRight w:val="0"/>
      <w:marTop w:val="0"/>
      <w:marBottom w:val="0"/>
      <w:divBdr>
        <w:top w:val="none" w:sz="0" w:space="0" w:color="auto"/>
        <w:left w:val="none" w:sz="0" w:space="0" w:color="auto"/>
        <w:bottom w:val="none" w:sz="0" w:space="0" w:color="auto"/>
        <w:right w:val="none" w:sz="0" w:space="0" w:color="auto"/>
      </w:divBdr>
    </w:div>
    <w:div w:id="2038892155">
      <w:bodyDiv w:val="1"/>
      <w:marLeft w:val="0"/>
      <w:marRight w:val="0"/>
      <w:marTop w:val="0"/>
      <w:marBottom w:val="0"/>
      <w:divBdr>
        <w:top w:val="none" w:sz="0" w:space="0" w:color="auto"/>
        <w:left w:val="none" w:sz="0" w:space="0" w:color="auto"/>
        <w:bottom w:val="none" w:sz="0" w:space="0" w:color="auto"/>
        <w:right w:val="none" w:sz="0" w:space="0" w:color="auto"/>
      </w:divBdr>
    </w:div>
    <w:div w:id="2041740750">
      <w:bodyDiv w:val="1"/>
      <w:marLeft w:val="0"/>
      <w:marRight w:val="0"/>
      <w:marTop w:val="0"/>
      <w:marBottom w:val="0"/>
      <w:divBdr>
        <w:top w:val="none" w:sz="0" w:space="0" w:color="auto"/>
        <w:left w:val="none" w:sz="0" w:space="0" w:color="auto"/>
        <w:bottom w:val="none" w:sz="0" w:space="0" w:color="auto"/>
        <w:right w:val="none" w:sz="0" w:space="0" w:color="auto"/>
      </w:divBdr>
    </w:div>
    <w:div w:id="2043552324">
      <w:bodyDiv w:val="1"/>
      <w:marLeft w:val="0"/>
      <w:marRight w:val="0"/>
      <w:marTop w:val="0"/>
      <w:marBottom w:val="0"/>
      <w:divBdr>
        <w:top w:val="none" w:sz="0" w:space="0" w:color="auto"/>
        <w:left w:val="none" w:sz="0" w:space="0" w:color="auto"/>
        <w:bottom w:val="none" w:sz="0" w:space="0" w:color="auto"/>
        <w:right w:val="none" w:sz="0" w:space="0" w:color="auto"/>
      </w:divBdr>
    </w:div>
    <w:div w:id="2045208109">
      <w:bodyDiv w:val="1"/>
      <w:marLeft w:val="0"/>
      <w:marRight w:val="0"/>
      <w:marTop w:val="0"/>
      <w:marBottom w:val="0"/>
      <w:divBdr>
        <w:top w:val="none" w:sz="0" w:space="0" w:color="auto"/>
        <w:left w:val="none" w:sz="0" w:space="0" w:color="auto"/>
        <w:bottom w:val="none" w:sz="0" w:space="0" w:color="auto"/>
        <w:right w:val="none" w:sz="0" w:space="0" w:color="auto"/>
      </w:divBdr>
    </w:div>
    <w:div w:id="2048603576">
      <w:bodyDiv w:val="1"/>
      <w:marLeft w:val="0"/>
      <w:marRight w:val="0"/>
      <w:marTop w:val="0"/>
      <w:marBottom w:val="0"/>
      <w:divBdr>
        <w:top w:val="none" w:sz="0" w:space="0" w:color="auto"/>
        <w:left w:val="none" w:sz="0" w:space="0" w:color="auto"/>
        <w:bottom w:val="none" w:sz="0" w:space="0" w:color="auto"/>
        <w:right w:val="none" w:sz="0" w:space="0" w:color="auto"/>
      </w:divBdr>
    </w:div>
    <w:div w:id="2048993659">
      <w:bodyDiv w:val="1"/>
      <w:marLeft w:val="0"/>
      <w:marRight w:val="0"/>
      <w:marTop w:val="0"/>
      <w:marBottom w:val="0"/>
      <w:divBdr>
        <w:top w:val="none" w:sz="0" w:space="0" w:color="auto"/>
        <w:left w:val="none" w:sz="0" w:space="0" w:color="auto"/>
        <w:bottom w:val="none" w:sz="0" w:space="0" w:color="auto"/>
        <w:right w:val="none" w:sz="0" w:space="0" w:color="auto"/>
      </w:divBdr>
    </w:div>
    <w:div w:id="2052685503">
      <w:bodyDiv w:val="1"/>
      <w:marLeft w:val="0"/>
      <w:marRight w:val="0"/>
      <w:marTop w:val="0"/>
      <w:marBottom w:val="0"/>
      <w:divBdr>
        <w:top w:val="none" w:sz="0" w:space="0" w:color="auto"/>
        <w:left w:val="none" w:sz="0" w:space="0" w:color="auto"/>
        <w:bottom w:val="none" w:sz="0" w:space="0" w:color="auto"/>
        <w:right w:val="none" w:sz="0" w:space="0" w:color="auto"/>
      </w:divBdr>
    </w:div>
    <w:div w:id="2054646141">
      <w:bodyDiv w:val="1"/>
      <w:marLeft w:val="0"/>
      <w:marRight w:val="0"/>
      <w:marTop w:val="0"/>
      <w:marBottom w:val="0"/>
      <w:divBdr>
        <w:top w:val="none" w:sz="0" w:space="0" w:color="auto"/>
        <w:left w:val="none" w:sz="0" w:space="0" w:color="auto"/>
        <w:bottom w:val="none" w:sz="0" w:space="0" w:color="auto"/>
        <w:right w:val="none" w:sz="0" w:space="0" w:color="auto"/>
      </w:divBdr>
    </w:div>
    <w:div w:id="2054885748">
      <w:bodyDiv w:val="1"/>
      <w:marLeft w:val="0"/>
      <w:marRight w:val="0"/>
      <w:marTop w:val="0"/>
      <w:marBottom w:val="0"/>
      <w:divBdr>
        <w:top w:val="none" w:sz="0" w:space="0" w:color="auto"/>
        <w:left w:val="none" w:sz="0" w:space="0" w:color="auto"/>
        <w:bottom w:val="none" w:sz="0" w:space="0" w:color="auto"/>
        <w:right w:val="none" w:sz="0" w:space="0" w:color="auto"/>
      </w:divBdr>
    </w:div>
    <w:div w:id="2055883966">
      <w:bodyDiv w:val="1"/>
      <w:marLeft w:val="0"/>
      <w:marRight w:val="0"/>
      <w:marTop w:val="0"/>
      <w:marBottom w:val="0"/>
      <w:divBdr>
        <w:top w:val="none" w:sz="0" w:space="0" w:color="auto"/>
        <w:left w:val="none" w:sz="0" w:space="0" w:color="auto"/>
        <w:bottom w:val="none" w:sz="0" w:space="0" w:color="auto"/>
        <w:right w:val="none" w:sz="0" w:space="0" w:color="auto"/>
      </w:divBdr>
    </w:div>
    <w:div w:id="2056199218">
      <w:bodyDiv w:val="1"/>
      <w:marLeft w:val="0"/>
      <w:marRight w:val="0"/>
      <w:marTop w:val="0"/>
      <w:marBottom w:val="0"/>
      <w:divBdr>
        <w:top w:val="none" w:sz="0" w:space="0" w:color="auto"/>
        <w:left w:val="none" w:sz="0" w:space="0" w:color="auto"/>
        <w:bottom w:val="none" w:sz="0" w:space="0" w:color="auto"/>
        <w:right w:val="none" w:sz="0" w:space="0" w:color="auto"/>
      </w:divBdr>
    </w:div>
    <w:div w:id="2057393134">
      <w:bodyDiv w:val="1"/>
      <w:marLeft w:val="0"/>
      <w:marRight w:val="0"/>
      <w:marTop w:val="0"/>
      <w:marBottom w:val="0"/>
      <w:divBdr>
        <w:top w:val="none" w:sz="0" w:space="0" w:color="auto"/>
        <w:left w:val="none" w:sz="0" w:space="0" w:color="auto"/>
        <w:bottom w:val="none" w:sz="0" w:space="0" w:color="auto"/>
        <w:right w:val="none" w:sz="0" w:space="0" w:color="auto"/>
      </w:divBdr>
    </w:div>
    <w:div w:id="2057467081">
      <w:bodyDiv w:val="1"/>
      <w:marLeft w:val="0"/>
      <w:marRight w:val="0"/>
      <w:marTop w:val="0"/>
      <w:marBottom w:val="0"/>
      <w:divBdr>
        <w:top w:val="none" w:sz="0" w:space="0" w:color="auto"/>
        <w:left w:val="none" w:sz="0" w:space="0" w:color="auto"/>
        <w:bottom w:val="none" w:sz="0" w:space="0" w:color="auto"/>
        <w:right w:val="none" w:sz="0" w:space="0" w:color="auto"/>
      </w:divBdr>
    </w:div>
    <w:div w:id="2058233278">
      <w:bodyDiv w:val="1"/>
      <w:marLeft w:val="0"/>
      <w:marRight w:val="0"/>
      <w:marTop w:val="0"/>
      <w:marBottom w:val="0"/>
      <w:divBdr>
        <w:top w:val="none" w:sz="0" w:space="0" w:color="auto"/>
        <w:left w:val="none" w:sz="0" w:space="0" w:color="auto"/>
        <w:bottom w:val="none" w:sz="0" w:space="0" w:color="auto"/>
        <w:right w:val="none" w:sz="0" w:space="0" w:color="auto"/>
      </w:divBdr>
    </w:div>
    <w:div w:id="2059090345">
      <w:bodyDiv w:val="1"/>
      <w:marLeft w:val="0"/>
      <w:marRight w:val="0"/>
      <w:marTop w:val="0"/>
      <w:marBottom w:val="0"/>
      <w:divBdr>
        <w:top w:val="none" w:sz="0" w:space="0" w:color="auto"/>
        <w:left w:val="none" w:sz="0" w:space="0" w:color="auto"/>
        <w:bottom w:val="none" w:sz="0" w:space="0" w:color="auto"/>
        <w:right w:val="none" w:sz="0" w:space="0" w:color="auto"/>
      </w:divBdr>
    </w:div>
    <w:div w:id="2063171425">
      <w:bodyDiv w:val="1"/>
      <w:marLeft w:val="0"/>
      <w:marRight w:val="0"/>
      <w:marTop w:val="0"/>
      <w:marBottom w:val="0"/>
      <w:divBdr>
        <w:top w:val="none" w:sz="0" w:space="0" w:color="auto"/>
        <w:left w:val="none" w:sz="0" w:space="0" w:color="auto"/>
        <w:bottom w:val="none" w:sz="0" w:space="0" w:color="auto"/>
        <w:right w:val="none" w:sz="0" w:space="0" w:color="auto"/>
      </w:divBdr>
    </w:div>
    <w:div w:id="2064331434">
      <w:bodyDiv w:val="1"/>
      <w:marLeft w:val="0"/>
      <w:marRight w:val="0"/>
      <w:marTop w:val="0"/>
      <w:marBottom w:val="0"/>
      <w:divBdr>
        <w:top w:val="none" w:sz="0" w:space="0" w:color="auto"/>
        <w:left w:val="none" w:sz="0" w:space="0" w:color="auto"/>
        <w:bottom w:val="none" w:sz="0" w:space="0" w:color="auto"/>
        <w:right w:val="none" w:sz="0" w:space="0" w:color="auto"/>
      </w:divBdr>
    </w:div>
    <w:div w:id="2066250380">
      <w:bodyDiv w:val="1"/>
      <w:marLeft w:val="0"/>
      <w:marRight w:val="0"/>
      <w:marTop w:val="0"/>
      <w:marBottom w:val="0"/>
      <w:divBdr>
        <w:top w:val="none" w:sz="0" w:space="0" w:color="auto"/>
        <w:left w:val="none" w:sz="0" w:space="0" w:color="auto"/>
        <w:bottom w:val="none" w:sz="0" w:space="0" w:color="auto"/>
        <w:right w:val="none" w:sz="0" w:space="0" w:color="auto"/>
      </w:divBdr>
    </w:div>
    <w:div w:id="2066759035">
      <w:bodyDiv w:val="1"/>
      <w:marLeft w:val="0"/>
      <w:marRight w:val="0"/>
      <w:marTop w:val="0"/>
      <w:marBottom w:val="0"/>
      <w:divBdr>
        <w:top w:val="none" w:sz="0" w:space="0" w:color="auto"/>
        <w:left w:val="none" w:sz="0" w:space="0" w:color="auto"/>
        <w:bottom w:val="none" w:sz="0" w:space="0" w:color="auto"/>
        <w:right w:val="none" w:sz="0" w:space="0" w:color="auto"/>
      </w:divBdr>
    </w:div>
    <w:div w:id="2067486977">
      <w:bodyDiv w:val="1"/>
      <w:marLeft w:val="0"/>
      <w:marRight w:val="0"/>
      <w:marTop w:val="0"/>
      <w:marBottom w:val="0"/>
      <w:divBdr>
        <w:top w:val="none" w:sz="0" w:space="0" w:color="auto"/>
        <w:left w:val="none" w:sz="0" w:space="0" w:color="auto"/>
        <w:bottom w:val="none" w:sz="0" w:space="0" w:color="auto"/>
        <w:right w:val="none" w:sz="0" w:space="0" w:color="auto"/>
      </w:divBdr>
    </w:div>
    <w:div w:id="2068382572">
      <w:bodyDiv w:val="1"/>
      <w:marLeft w:val="0"/>
      <w:marRight w:val="0"/>
      <w:marTop w:val="0"/>
      <w:marBottom w:val="0"/>
      <w:divBdr>
        <w:top w:val="none" w:sz="0" w:space="0" w:color="auto"/>
        <w:left w:val="none" w:sz="0" w:space="0" w:color="auto"/>
        <w:bottom w:val="none" w:sz="0" w:space="0" w:color="auto"/>
        <w:right w:val="none" w:sz="0" w:space="0" w:color="auto"/>
      </w:divBdr>
    </w:div>
    <w:div w:id="2069644063">
      <w:bodyDiv w:val="1"/>
      <w:marLeft w:val="0"/>
      <w:marRight w:val="0"/>
      <w:marTop w:val="0"/>
      <w:marBottom w:val="0"/>
      <w:divBdr>
        <w:top w:val="none" w:sz="0" w:space="0" w:color="auto"/>
        <w:left w:val="none" w:sz="0" w:space="0" w:color="auto"/>
        <w:bottom w:val="none" w:sz="0" w:space="0" w:color="auto"/>
        <w:right w:val="none" w:sz="0" w:space="0" w:color="auto"/>
      </w:divBdr>
    </w:div>
    <w:div w:id="2076469703">
      <w:bodyDiv w:val="1"/>
      <w:marLeft w:val="0"/>
      <w:marRight w:val="0"/>
      <w:marTop w:val="0"/>
      <w:marBottom w:val="0"/>
      <w:divBdr>
        <w:top w:val="none" w:sz="0" w:space="0" w:color="auto"/>
        <w:left w:val="none" w:sz="0" w:space="0" w:color="auto"/>
        <w:bottom w:val="none" w:sz="0" w:space="0" w:color="auto"/>
        <w:right w:val="none" w:sz="0" w:space="0" w:color="auto"/>
      </w:divBdr>
    </w:div>
    <w:div w:id="2077513847">
      <w:bodyDiv w:val="1"/>
      <w:marLeft w:val="0"/>
      <w:marRight w:val="0"/>
      <w:marTop w:val="0"/>
      <w:marBottom w:val="0"/>
      <w:divBdr>
        <w:top w:val="none" w:sz="0" w:space="0" w:color="auto"/>
        <w:left w:val="none" w:sz="0" w:space="0" w:color="auto"/>
        <w:bottom w:val="none" w:sz="0" w:space="0" w:color="auto"/>
        <w:right w:val="none" w:sz="0" w:space="0" w:color="auto"/>
      </w:divBdr>
    </w:div>
    <w:div w:id="2077704477">
      <w:bodyDiv w:val="1"/>
      <w:marLeft w:val="0"/>
      <w:marRight w:val="0"/>
      <w:marTop w:val="0"/>
      <w:marBottom w:val="0"/>
      <w:divBdr>
        <w:top w:val="none" w:sz="0" w:space="0" w:color="auto"/>
        <w:left w:val="none" w:sz="0" w:space="0" w:color="auto"/>
        <w:bottom w:val="none" w:sz="0" w:space="0" w:color="auto"/>
        <w:right w:val="none" w:sz="0" w:space="0" w:color="auto"/>
      </w:divBdr>
    </w:div>
    <w:div w:id="2078631212">
      <w:bodyDiv w:val="1"/>
      <w:marLeft w:val="0"/>
      <w:marRight w:val="0"/>
      <w:marTop w:val="0"/>
      <w:marBottom w:val="0"/>
      <w:divBdr>
        <w:top w:val="none" w:sz="0" w:space="0" w:color="auto"/>
        <w:left w:val="none" w:sz="0" w:space="0" w:color="auto"/>
        <w:bottom w:val="none" w:sz="0" w:space="0" w:color="auto"/>
        <w:right w:val="none" w:sz="0" w:space="0" w:color="auto"/>
      </w:divBdr>
    </w:div>
    <w:div w:id="2079936465">
      <w:bodyDiv w:val="1"/>
      <w:marLeft w:val="0"/>
      <w:marRight w:val="0"/>
      <w:marTop w:val="0"/>
      <w:marBottom w:val="0"/>
      <w:divBdr>
        <w:top w:val="none" w:sz="0" w:space="0" w:color="auto"/>
        <w:left w:val="none" w:sz="0" w:space="0" w:color="auto"/>
        <w:bottom w:val="none" w:sz="0" w:space="0" w:color="auto"/>
        <w:right w:val="none" w:sz="0" w:space="0" w:color="auto"/>
      </w:divBdr>
    </w:div>
    <w:div w:id="2080126033">
      <w:bodyDiv w:val="1"/>
      <w:marLeft w:val="0"/>
      <w:marRight w:val="0"/>
      <w:marTop w:val="0"/>
      <w:marBottom w:val="0"/>
      <w:divBdr>
        <w:top w:val="none" w:sz="0" w:space="0" w:color="auto"/>
        <w:left w:val="none" w:sz="0" w:space="0" w:color="auto"/>
        <w:bottom w:val="none" w:sz="0" w:space="0" w:color="auto"/>
        <w:right w:val="none" w:sz="0" w:space="0" w:color="auto"/>
      </w:divBdr>
    </w:div>
    <w:div w:id="2083940837">
      <w:bodyDiv w:val="1"/>
      <w:marLeft w:val="0"/>
      <w:marRight w:val="0"/>
      <w:marTop w:val="0"/>
      <w:marBottom w:val="0"/>
      <w:divBdr>
        <w:top w:val="none" w:sz="0" w:space="0" w:color="auto"/>
        <w:left w:val="none" w:sz="0" w:space="0" w:color="auto"/>
        <w:bottom w:val="none" w:sz="0" w:space="0" w:color="auto"/>
        <w:right w:val="none" w:sz="0" w:space="0" w:color="auto"/>
      </w:divBdr>
    </w:div>
    <w:div w:id="2085839445">
      <w:bodyDiv w:val="1"/>
      <w:marLeft w:val="0"/>
      <w:marRight w:val="0"/>
      <w:marTop w:val="0"/>
      <w:marBottom w:val="0"/>
      <w:divBdr>
        <w:top w:val="none" w:sz="0" w:space="0" w:color="auto"/>
        <w:left w:val="none" w:sz="0" w:space="0" w:color="auto"/>
        <w:bottom w:val="none" w:sz="0" w:space="0" w:color="auto"/>
        <w:right w:val="none" w:sz="0" w:space="0" w:color="auto"/>
      </w:divBdr>
    </w:div>
    <w:div w:id="2091080067">
      <w:bodyDiv w:val="1"/>
      <w:marLeft w:val="0"/>
      <w:marRight w:val="0"/>
      <w:marTop w:val="0"/>
      <w:marBottom w:val="0"/>
      <w:divBdr>
        <w:top w:val="none" w:sz="0" w:space="0" w:color="auto"/>
        <w:left w:val="none" w:sz="0" w:space="0" w:color="auto"/>
        <w:bottom w:val="none" w:sz="0" w:space="0" w:color="auto"/>
        <w:right w:val="none" w:sz="0" w:space="0" w:color="auto"/>
      </w:divBdr>
    </w:div>
    <w:div w:id="2094088573">
      <w:bodyDiv w:val="1"/>
      <w:marLeft w:val="0"/>
      <w:marRight w:val="0"/>
      <w:marTop w:val="0"/>
      <w:marBottom w:val="0"/>
      <w:divBdr>
        <w:top w:val="none" w:sz="0" w:space="0" w:color="auto"/>
        <w:left w:val="none" w:sz="0" w:space="0" w:color="auto"/>
        <w:bottom w:val="none" w:sz="0" w:space="0" w:color="auto"/>
        <w:right w:val="none" w:sz="0" w:space="0" w:color="auto"/>
      </w:divBdr>
    </w:div>
    <w:div w:id="2096393923">
      <w:bodyDiv w:val="1"/>
      <w:marLeft w:val="0"/>
      <w:marRight w:val="0"/>
      <w:marTop w:val="0"/>
      <w:marBottom w:val="0"/>
      <w:divBdr>
        <w:top w:val="none" w:sz="0" w:space="0" w:color="auto"/>
        <w:left w:val="none" w:sz="0" w:space="0" w:color="auto"/>
        <w:bottom w:val="none" w:sz="0" w:space="0" w:color="auto"/>
        <w:right w:val="none" w:sz="0" w:space="0" w:color="auto"/>
      </w:divBdr>
    </w:div>
    <w:div w:id="2096703525">
      <w:bodyDiv w:val="1"/>
      <w:marLeft w:val="0"/>
      <w:marRight w:val="0"/>
      <w:marTop w:val="0"/>
      <w:marBottom w:val="0"/>
      <w:divBdr>
        <w:top w:val="none" w:sz="0" w:space="0" w:color="auto"/>
        <w:left w:val="none" w:sz="0" w:space="0" w:color="auto"/>
        <w:bottom w:val="none" w:sz="0" w:space="0" w:color="auto"/>
        <w:right w:val="none" w:sz="0" w:space="0" w:color="auto"/>
      </w:divBdr>
    </w:div>
    <w:div w:id="2098361061">
      <w:bodyDiv w:val="1"/>
      <w:marLeft w:val="0"/>
      <w:marRight w:val="0"/>
      <w:marTop w:val="0"/>
      <w:marBottom w:val="0"/>
      <w:divBdr>
        <w:top w:val="none" w:sz="0" w:space="0" w:color="auto"/>
        <w:left w:val="none" w:sz="0" w:space="0" w:color="auto"/>
        <w:bottom w:val="none" w:sz="0" w:space="0" w:color="auto"/>
        <w:right w:val="none" w:sz="0" w:space="0" w:color="auto"/>
      </w:divBdr>
    </w:div>
    <w:div w:id="2098479837">
      <w:bodyDiv w:val="1"/>
      <w:marLeft w:val="0"/>
      <w:marRight w:val="0"/>
      <w:marTop w:val="0"/>
      <w:marBottom w:val="0"/>
      <w:divBdr>
        <w:top w:val="none" w:sz="0" w:space="0" w:color="auto"/>
        <w:left w:val="none" w:sz="0" w:space="0" w:color="auto"/>
        <w:bottom w:val="none" w:sz="0" w:space="0" w:color="auto"/>
        <w:right w:val="none" w:sz="0" w:space="0" w:color="auto"/>
      </w:divBdr>
    </w:div>
    <w:div w:id="2102942400">
      <w:bodyDiv w:val="1"/>
      <w:marLeft w:val="0"/>
      <w:marRight w:val="0"/>
      <w:marTop w:val="0"/>
      <w:marBottom w:val="0"/>
      <w:divBdr>
        <w:top w:val="none" w:sz="0" w:space="0" w:color="auto"/>
        <w:left w:val="none" w:sz="0" w:space="0" w:color="auto"/>
        <w:bottom w:val="none" w:sz="0" w:space="0" w:color="auto"/>
        <w:right w:val="none" w:sz="0" w:space="0" w:color="auto"/>
      </w:divBdr>
    </w:div>
    <w:div w:id="2106460102">
      <w:bodyDiv w:val="1"/>
      <w:marLeft w:val="0"/>
      <w:marRight w:val="0"/>
      <w:marTop w:val="0"/>
      <w:marBottom w:val="0"/>
      <w:divBdr>
        <w:top w:val="none" w:sz="0" w:space="0" w:color="auto"/>
        <w:left w:val="none" w:sz="0" w:space="0" w:color="auto"/>
        <w:bottom w:val="none" w:sz="0" w:space="0" w:color="auto"/>
        <w:right w:val="none" w:sz="0" w:space="0" w:color="auto"/>
      </w:divBdr>
    </w:div>
    <w:div w:id="2108378264">
      <w:bodyDiv w:val="1"/>
      <w:marLeft w:val="0"/>
      <w:marRight w:val="0"/>
      <w:marTop w:val="0"/>
      <w:marBottom w:val="0"/>
      <w:divBdr>
        <w:top w:val="none" w:sz="0" w:space="0" w:color="auto"/>
        <w:left w:val="none" w:sz="0" w:space="0" w:color="auto"/>
        <w:bottom w:val="none" w:sz="0" w:space="0" w:color="auto"/>
        <w:right w:val="none" w:sz="0" w:space="0" w:color="auto"/>
      </w:divBdr>
    </w:div>
    <w:div w:id="2108843496">
      <w:bodyDiv w:val="1"/>
      <w:marLeft w:val="0"/>
      <w:marRight w:val="0"/>
      <w:marTop w:val="0"/>
      <w:marBottom w:val="0"/>
      <w:divBdr>
        <w:top w:val="none" w:sz="0" w:space="0" w:color="auto"/>
        <w:left w:val="none" w:sz="0" w:space="0" w:color="auto"/>
        <w:bottom w:val="none" w:sz="0" w:space="0" w:color="auto"/>
        <w:right w:val="none" w:sz="0" w:space="0" w:color="auto"/>
      </w:divBdr>
    </w:div>
    <w:div w:id="2110614326">
      <w:bodyDiv w:val="1"/>
      <w:marLeft w:val="0"/>
      <w:marRight w:val="0"/>
      <w:marTop w:val="0"/>
      <w:marBottom w:val="0"/>
      <w:divBdr>
        <w:top w:val="none" w:sz="0" w:space="0" w:color="auto"/>
        <w:left w:val="none" w:sz="0" w:space="0" w:color="auto"/>
        <w:bottom w:val="none" w:sz="0" w:space="0" w:color="auto"/>
        <w:right w:val="none" w:sz="0" w:space="0" w:color="auto"/>
      </w:divBdr>
    </w:div>
    <w:div w:id="2111705575">
      <w:bodyDiv w:val="1"/>
      <w:marLeft w:val="0"/>
      <w:marRight w:val="0"/>
      <w:marTop w:val="0"/>
      <w:marBottom w:val="0"/>
      <w:divBdr>
        <w:top w:val="none" w:sz="0" w:space="0" w:color="auto"/>
        <w:left w:val="none" w:sz="0" w:space="0" w:color="auto"/>
        <w:bottom w:val="none" w:sz="0" w:space="0" w:color="auto"/>
        <w:right w:val="none" w:sz="0" w:space="0" w:color="auto"/>
      </w:divBdr>
    </w:div>
    <w:div w:id="2112163743">
      <w:bodyDiv w:val="1"/>
      <w:marLeft w:val="0"/>
      <w:marRight w:val="0"/>
      <w:marTop w:val="0"/>
      <w:marBottom w:val="0"/>
      <w:divBdr>
        <w:top w:val="none" w:sz="0" w:space="0" w:color="auto"/>
        <w:left w:val="none" w:sz="0" w:space="0" w:color="auto"/>
        <w:bottom w:val="none" w:sz="0" w:space="0" w:color="auto"/>
        <w:right w:val="none" w:sz="0" w:space="0" w:color="auto"/>
      </w:divBdr>
    </w:div>
    <w:div w:id="2113163035">
      <w:bodyDiv w:val="1"/>
      <w:marLeft w:val="0"/>
      <w:marRight w:val="0"/>
      <w:marTop w:val="0"/>
      <w:marBottom w:val="0"/>
      <w:divBdr>
        <w:top w:val="none" w:sz="0" w:space="0" w:color="auto"/>
        <w:left w:val="none" w:sz="0" w:space="0" w:color="auto"/>
        <w:bottom w:val="none" w:sz="0" w:space="0" w:color="auto"/>
        <w:right w:val="none" w:sz="0" w:space="0" w:color="auto"/>
      </w:divBdr>
    </w:div>
    <w:div w:id="2113277395">
      <w:bodyDiv w:val="1"/>
      <w:marLeft w:val="0"/>
      <w:marRight w:val="0"/>
      <w:marTop w:val="0"/>
      <w:marBottom w:val="0"/>
      <w:divBdr>
        <w:top w:val="none" w:sz="0" w:space="0" w:color="auto"/>
        <w:left w:val="none" w:sz="0" w:space="0" w:color="auto"/>
        <w:bottom w:val="none" w:sz="0" w:space="0" w:color="auto"/>
        <w:right w:val="none" w:sz="0" w:space="0" w:color="auto"/>
      </w:divBdr>
    </w:div>
    <w:div w:id="2116974115">
      <w:bodyDiv w:val="1"/>
      <w:marLeft w:val="0"/>
      <w:marRight w:val="0"/>
      <w:marTop w:val="0"/>
      <w:marBottom w:val="0"/>
      <w:divBdr>
        <w:top w:val="none" w:sz="0" w:space="0" w:color="auto"/>
        <w:left w:val="none" w:sz="0" w:space="0" w:color="auto"/>
        <w:bottom w:val="none" w:sz="0" w:space="0" w:color="auto"/>
        <w:right w:val="none" w:sz="0" w:space="0" w:color="auto"/>
      </w:divBdr>
    </w:div>
    <w:div w:id="2118020092">
      <w:bodyDiv w:val="1"/>
      <w:marLeft w:val="0"/>
      <w:marRight w:val="0"/>
      <w:marTop w:val="0"/>
      <w:marBottom w:val="0"/>
      <w:divBdr>
        <w:top w:val="none" w:sz="0" w:space="0" w:color="auto"/>
        <w:left w:val="none" w:sz="0" w:space="0" w:color="auto"/>
        <w:bottom w:val="none" w:sz="0" w:space="0" w:color="auto"/>
        <w:right w:val="none" w:sz="0" w:space="0" w:color="auto"/>
      </w:divBdr>
    </w:div>
    <w:div w:id="2118527326">
      <w:bodyDiv w:val="1"/>
      <w:marLeft w:val="0"/>
      <w:marRight w:val="0"/>
      <w:marTop w:val="0"/>
      <w:marBottom w:val="0"/>
      <w:divBdr>
        <w:top w:val="none" w:sz="0" w:space="0" w:color="auto"/>
        <w:left w:val="none" w:sz="0" w:space="0" w:color="auto"/>
        <w:bottom w:val="none" w:sz="0" w:space="0" w:color="auto"/>
        <w:right w:val="none" w:sz="0" w:space="0" w:color="auto"/>
      </w:divBdr>
    </w:div>
    <w:div w:id="2118865766">
      <w:bodyDiv w:val="1"/>
      <w:marLeft w:val="0"/>
      <w:marRight w:val="0"/>
      <w:marTop w:val="0"/>
      <w:marBottom w:val="0"/>
      <w:divBdr>
        <w:top w:val="none" w:sz="0" w:space="0" w:color="auto"/>
        <w:left w:val="none" w:sz="0" w:space="0" w:color="auto"/>
        <w:bottom w:val="none" w:sz="0" w:space="0" w:color="auto"/>
        <w:right w:val="none" w:sz="0" w:space="0" w:color="auto"/>
      </w:divBdr>
    </w:div>
    <w:div w:id="2119526759">
      <w:bodyDiv w:val="1"/>
      <w:marLeft w:val="0"/>
      <w:marRight w:val="0"/>
      <w:marTop w:val="0"/>
      <w:marBottom w:val="0"/>
      <w:divBdr>
        <w:top w:val="none" w:sz="0" w:space="0" w:color="auto"/>
        <w:left w:val="none" w:sz="0" w:space="0" w:color="auto"/>
        <w:bottom w:val="none" w:sz="0" w:space="0" w:color="auto"/>
        <w:right w:val="none" w:sz="0" w:space="0" w:color="auto"/>
      </w:divBdr>
    </w:div>
    <w:div w:id="2119831681">
      <w:bodyDiv w:val="1"/>
      <w:marLeft w:val="0"/>
      <w:marRight w:val="0"/>
      <w:marTop w:val="0"/>
      <w:marBottom w:val="0"/>
      <w:divBdr>
        <w:top w:val="none" w:sz="0" w:space="0" w:color="auto"/>
        <w:left w:val="none" w:sz="0" w:space="0" w:color="auto"/>
        <w:bottom w:val="none" w:sz="0" w:space="0" w:color="auto"/>
        <w:right w:val="none" w:sz="0" w:space="0" w:color="auto"/>
      </w:divBdr>
    </w:div>
    <w:div w:id="2120444678">
      <w:bodyDiv w:val="1"/>
      <w:marLeft w:val="0"/>
      <w:marRight w:val="0"/>
      <w:marTop w:val="0"/>
      <w:marBottom w:val="0"/>
      <w:divBdr>
        <w:top w:val="none" w:sz="0" w:space="0" w:color="auto"/>
        <w:left w:val="none" w:sz="0" w:space="0" w:color="auto"/>
        <w:bottom w:val="none" w:sz="0" w:space="0" w:color="auto"/>
        <w:right w:val="none" w:sz="0" w:space="0" w:color="auto"/>
      </w:divBdr>
    </w:div>
    <w:div w:id="2120562478">
      <w:bodyDiv w:val="1"/>
      <w:marLeft w:val="0"/>
      <w:marRight w:val="0"/>
      <w:marTop w:val="0"/>
      <w:marBottom w:val="0"/>
      <w:divBdr>
        <w:top w:val="none" w:sz="0" w:space="0" w:color="auto"/>
        <w:left w:val="none" w:sz="0" w:space="0" w:color="auto"/>
        <w:bottom w:val="none" w:sz="0" w:space="0" w:color="auto"/>
        <w:right w:val="none" w:sz="0" w:space="0" w:color="auto"/>
      </w:divBdr>
    </w:div>
    <w:div w:id="2123720442">
      <w:bodyDiv w:val="1"/>
      <w:marLeft w:val="0"/>
      <w:marRight w:val="0"/>
      <w:marTop w:val="0"/>
      <w:marBottom w:val="0"/>
      <w:divBdr>
        <w:top w:val="none" w:sz="0" w:space="0" w:color="auto"/>
        <w:left w:val="none" w:sz="0" w:space="0" w:color="auto"/>
        <w:bottom w:val="none" w:sz="0" w:space="0" w:color="auto"/>
        <w:right w:val="none" w:sz="0" w:space="0" w:color="auto"/>
      </w:divBdr>
    </w:div>
    <w:div w:id="2123766030">
      <w:bodyDiv w:val="1"/>
      <w:marLeft w:val="0"/>
      <w:marRight w:val="0"/>
      <w:marTop w:val="0"/>
      <w:marBottom w:val="0"/>
      <w:divBdr>
        <w:top w:val="none" w:sz="0" w:space="0" w:color="auto"/>
        <w:left w:val="none" w:sz="0" w:space="0" w:color="auto"/>
        <w:bottom w:val="none" w:sz="0" w:space="0" w:color="auto"/>
        <w:right w:val="none" w:sz="0" w:space="0" w:color="auto"/>
      </w:divBdr>
    </w:div>
    <w:div w:id="2125729475">
      <w:bodyDiv w:val="1"/>
      <w:marLeft w:val="0"/>
      <w:marRight w:val="0"/>
      <w:marTop w:val="0"/>
      <w:marBottom w:val="0"/>
      <w:divBdr>
        <w:top w:val="none" w:sz="0" w:space="0" w:color="auto"/>
        <w:left w:val="none" w:sz="0" w:space="0" w:color="auto"/>
        <w:bottom w:val="none" w:sz="0" w:space="0" w:color="auto"/>
        <w:right w:val="none" w:sz="0" w:space="0" w:color="auto"/>
      </w:divBdr>
    </w:div>
    <w:div w:id="2126346699">
      <w:bodyDiv w:val="1"/>
      <w:marLeft w:val="0"/>
      <w:marRight w:val="0"/>
      <w:marTop w:val="0"/>
      <w:marBottom w:val="0"/>
      <w:divBdr>
        <w:top w:val="none" w:sz="0" w:space="0" w:color="auto"/>
        <w:left w:val="none" w:sz="0" w:space="0" w:color="auto"/>
        <w:bottom w:val="none" w:sz="0" w:space="0" w:color="auto"/>
        <w:right w:val="none" w:sz="0" w:space="0" w:color="auto"/>
      </w:divBdr>
    </w:div>
    <w:div w:id="2128041804">
      <w:bodyDiv w:val="1"/>
      <w:marLeft w:val="0"/>
      <w:marRight w:val="0"/>
      <w:marTop w:val="0"/>
      <w:marBottom w:val="0"/>
      <w:divBdr>
        <w:top w:val="none" w:sz="0" w:space="0" w:color="auto"/>
        <w:left w:val="none" w:sz="0" w:space="0" w:color="auto"/>
        <w:bottom w:val="none" w:sz="0" w:space="0" w:color="auto"/>
        <w:right w:val="none" w:sz="0" w:space="0" w:color="auto"/>
      </w:divBdr>
    </w:div>
    <w:div w:id="2128965175">
      <w:bodyDiv w:val="1"/>
      <w:marLeft w:val="0"/>
      <w:marRight w:val="0"/>
      <w:marTop w:val="0"/>
      <w:marBottom w:val="0"/>
      <w:divBdr>
        <w:top w:val="none" w:sz="0" w:space="0" w:color="auto"/>
        <w:left w:val="none" w:sz="0" w:space="0" w:color="auto"/>
        <w:bottom w:val="none" w:sz="0" w:space="0" w:color="auto"/>
        <w:right w:val="none" w:sz="0" w:space="0" w:color="auto"/>
      </w:divBdr>
    </w:div>
    <w:div w:id="2129354756">
      <w:bodyDiv w:val="1"/>
      <w:marLeft w:val="0"/>
      <w:marRight w:val="0"/>
      <w:marTop w:val="0"/>
      <w:marBottom w:val="0"/>
      <w:divBdr>
        <w:top w:val="none" w:sz="0" w:space="0" w:color="auto"/>
        <w:left w:val="none" w:sz="0" w:space="0" w:color="auto"/>
        <w:bottom w:val="none" w:sz="0" w:space="0" w:color="auto"/>
        <w:right w:val="none" w:sz="0" w:space="0" w:color="auto"/>
      </w:divBdr>
    </w:div>
    <w:div w:id="2130200289">
      <w:bodyDiv w:val="1"/>
      <w:marLeft w:val="0"/>
      <w:marRight w:val="0"/>
      <w:marTop w:val="0"/>
      <w:marBottom w:val="0"/>
      <w:divBdr>
        <w:top w:val="none" w:sz="0" w:space="0" w:color="auto"/>
        <w:left w:val="none" w:sz="0" w:space="0" w:color="auto"/>
        <w:bottom w:val="none" w:sz="0" w:space="0" w:color="auto"/>
        <w:right w:val="none" w:sz="0" w:space="0" w:color="auto"/>
      </w:divBdr>
    </w:div>
    <w:div w:id="2130662869">
      <w:bodyDiv w:val="1"/>
      <w:marLeft w:val="0"/>
      <w:marRight w:val="0"/>
      <w:marTop w:val="0"/>
      <w:marBottom w:val="0"/>
      <w:divBdr>
        <w:top w:val="none" w:sz="0" w:space="0" w:color="auto"/>
        <w:left w:val="none" w:sz="0" w:space="0" w:color="auto"/>
        <w:bottom w:val="none" w:sz="0" w:space="0" w:color="auto"/>
        <w:right w:val="none" w:sz="0" w:space="0" w:color="auto"/>
      </w:divBdr>
    </w:div>
    <w:div w:id="2131778225">
      <w:bodyDiv w:val="1"/>
      <w:marLeft w:val="0"/>
      <w:marRight w:val="0"/>
      <w:marTop w:val="0"/>
      <w:marBottom w:val="0"/>
      <w:divBdr>
        <w:top w:val="none" w:sz="0" w:space="0" w:color="auto"/>
        <w:left w:val="none" w:sz="0" w:space="0" w:color="auto"/>
        <w:bottom w:val="none" w:sz="0" w:space="0" w:color="auto"/>
        <w:right w:val="none" w:sz="0" w:space="0" w:color="auto"/>
      </w:divBdr>
    </w:div>
    <w:div w:id="2136173962">
      <w:bodyDiv w:val="1"/>
      <w:marLeft w:val="0"/>
      <w:marRight w:val="0"/>
      <w:marTop w:val="0"/>
      <w:marBottom w:val="0"/>
      <w:divBdr>
        <w:top w:val="none" w:sz="0" w:space="0" w:color="auto"/>
        <w:left w:val="none" w:sz="0" w:space="0" w:color="auto"/>
        <w:bottom w:val="none" w:sz="0" w:space="0" w:color="auto"/>
        <w:right w:val="none" w:sz="0" w:space="0" w:color="auto"/>
      </w:divBdr>
    </w:div>
    <w:div w:id="2136828069">
      <w:bodyDiv w:val="1"/>
      <w:marLeft w:val="0"/>
      <w:marRight w:val="0"/>
      <w:marTop w:val="0"/>
      <w:marBottom w:val="0"/>
      <w:divBdr>
        <w:top w:val="none" w:sz="0" w:space="0" w:color="auto"/>
        <w:left w:val="none" w:sz="0" w:space="0" w:color="auto"/>
        <w:bottom w:val="none" w:sz="0" w:space="0" w:color="auto"/>
        <w:right w:val="none" w:sz="0" w:space="0" w:color="auto"/>
      </w:divBdr>
    </w:div>
    <w:div w:id="2140026845">
      <w:bodyDiv w:val="1"/>
      <w:marLeft w:val="0"/>
      <w:marRight w:val="0"/>
      <w:marTop w:val="0"/>
      <w:marBottom w:val="0"/>
      <w:divBdr>
        <w:top w:val="none" w:sz="0" w:space="0" w:color="auto"/>
        <w:left w:val="none" w:sz="0" w:space="0" w:color="auto"/>
        <w:bottom w:val="none" w:sz="0" w:space="0" w:color="auto"/>
        <w:right w:val="none" w:sz="0" w:space="0" w:color="auto"/>
      </w:divBdr>
    </w:div>
    <w:div w:id="2140679911">
      <w:bodyDiv w:val="1"/>
      <w:marLeft w:val="0"/>
      <w:marRight w:val="0"/>
      <w:marTop w:val="0"/>
      <w:marBottom w:val="0"/>
      <w:divBdr>
        <w:top w:val="none" w:sz="0" w:space="0" w:color="auto"/>
        <w:left w:val="none" w:sz="0" w:space="0" w:color="auto"/>
        <w:bottom w:val="none" w:sz="0" w:space="0" w:color="auto"/>
        <w:right w:val="none" w:sz="0" w:space="0" w:color="auto"/>
      </w:divBdr>
    </w:div>
    <w:div w:id="2140802833">
      <w:bodyDiv w:val="1"/>
      <w:marLeft w:val="0"/>
      <w:marRight w:val="0"/>
      <w:marTop w:val="0"/>
      <w:marBottom w:val="0"/>
      <w:divBdr>
        <w:top w:val="none" w:sz="0" w:space="0" w:color="auto"/>
        <w:left w:val="none" w:sz="0" w:space="0" w:color="auto"/>
        <w:bottom w:val="none" w:sz="0" w:space="0" w:color="auto"/>
        <w:right w:val="none" w:sz="0" w:space="0" w:color="auto"/>
      </w:divBdr>
    </w:div>
    <w:div w:id="2143182189">
      <w:bodyDiv w:val="1"/>
      <w:marLeft w:val="0"/>
      <w:marRight w:val="0"/>
      <w:marTop w:val="0"/>
      <w:marBottom w:val="0"/>
      <w:divBdr>
        <w:top w:val="none" w:sz="0" w:space="0" w:color="auto"/>
        <w:left w:val="none" w:sz="0" w:space="0" w:color="auto"/>
        <w:bottom w:val="none" w:sz="0" w:space="0" w:color="auto"/>
        <w:right w:val="none" w:sz="0" w:space="0" w:color="auto"/>
      </w:divBdr>
    </w:div>
    <w:div w:id="2143889399">
      <w:bodyDiv w:val="1"/>
      <w:marLeft w:val="0"/>
      <w:marRight w:val="0"/>
      <w:marTop w:val="0"/>
      <w:marBottom w:val="0"/>
      <w:divBdr>
        <w:top w:val="none" w:sz="0" w:space="0" w:color="auto"/>
        <w:left w:val="none" w:sz="0" w:space="0" w:color="auto"/>
        <w:bottom w:val="none" w:sz="0" w:space="0" w:color="auto"/>
        <w:right w:val="none" w:sz="0" w:space="0" w:color="auto"/>
      </w:divBdr>
    </w:div>
    <w:div w:id="2145734619">
      <w:bodyDiv w:val="1"/>
      <w:marLeft w:val="0"/>
      <w:marRight w:val="0"/>
      <w:marTop w:val="0"/>
      <w:marBottom w:val="0"/>
      <w:divBdr>
        <w:top w:val="none" w:sz="0" w:space="0" w:color="auto"/>
        <w:left w:val="none" w:sz="0" w:space="0" w:color="auto"/>
        <w:bottom w:val="none" w:sz="0" w:space="0" w:color="auto"/>
        <w:right w:val="none" w:sz="0" w:space="0" w:color="auto"/>
      </w:divBdr>
    </w:div>
    <w:div w:id="2146849907">
      <w:bodyDiv w:val="1"/>
      <w:marLeft w:val="0"/>
      <w:marRight w:val="0"/>
      <w:marTop w:val="0"/>
      <w:marBottom w:val="0"/>
      <w:divBdr>
        <w:top w:val="none" w:sz="0" w:space="0" w:color="auto"/>
        <w:left w:val="none" w:sz="0" w:space="0" w:color="auto"/>
        <w:bottom w:val="none" w:sz="0" w:space="0" w:color="auto"/>
        <w:right w:val="none" w:sz="0" w:space="0" w:color="auto"/>
      </w:divBdr>
    </w:div>
    <w:div w:id="2147119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6740/al-uqud.v8n2.p239-254" TargetMode="External"/><Relationship Id="rId18" Type="http://schemas.openxmlformats.org/officeDocument/2006/relationships/hyperlink" Target="https://doi.org/10.1016/j.jcorpfin.2018.11.008" TargetMode="External"/><Relationship Id="rId26" Type="http://schemas.openxmlformats.org/officeDocument/2006/relationships/hyperlink" Target="https://doi.org/10.1016/0304-405X(85)90042-X" TargetMode="External"/><Relationship Id="rId39" Type="http://schemas.openxmlformats.org/officeDocument/2006/relationships/hyperlink" Target="https://doi.org/10.1016/j.jcomm.2020.100124" TargetMode="External"/><Relationship Id="rId3" Type="http://schemas.openxmlformats.org/officeDocument/2006/relationships/styles" Target="styles.xml"/><Relationship Id="rId21" Type="http://schemas.openxmlformats.org/officeDocument/2006/relationships/hyperlink" Target="https://doi.org/10.1016/j.frl.2020.101709" TargetMode="External"/><Relationship Id="rId34" Type="http://schemas.openxmlformats.org/officeDocument/2006/relationships/hyperlink" Target="https://doi.org/10.21043/equilibrium.v10i2.16457" TargetMode="External"/><Relationship Id="rId42" Type="http://schemas.openxmlformats.org/officeDocument/2006/relationships/hyperlink" Target="https://doi.org/10.3390/ijerph17082800" TargetMode="External"/><Relationship Id="rId47" Type="http://schemas.openxmlformats.org/officeDocument/2006/relationships/hyperlink" Target="https://doi.org/10.3846/16111699.2012.711360"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uji.sucia@feb.unair.ac.id" TargetMode="External"/><Relationship Id="rId17" Type="http://schemas.openxmlformats.org/officeDocument/2006/relationships/hyperlink" Target="https://doi.org/10.1016/j.jclepro.2020.121377" TargetMode="External"/><Relationship Id="rId25" Type="http://schemas.openxmlformats.org/officeDocument/2006/relationships/hyperlink" Target="https://doi.org/10.1111/j.1468-5957.1983.tb00453.x" TargetMode="External"/><Relationship Id="rId33" Type="http://schemas.openxmlformats.org/officeDocument/2006/relationships/hyperlink" Target="https://doi.org/10.1016/j.econmod.2019.09.028" TargetMode="External"/><Relationship Id="rId38" Type="http://schemas.openxmlformats.org/officeDocument/2006/relationships/hyperlink" Target="https://doi.org/10.1016/j.irfa.2017.12.004" TargetMode="External"/><Relationship Id="rId46" Type="http://schemas.openxmlformats.org/officeDocument/2006/relationships/hyperlink" Target="https://market.bisnis.com/read/20200802/189/127." TargetMode="External"/><Relationship Id="rId2" Type="http://schemas.openxmlformats.org/officeDocument/2006/relationships/numbering" Target="numbering.xml"/><Relationship Id="rId16" Type="http://schemas.openxmlformats.org/officeDocument/2006/relationships/hyperlink" Target="https://doi.org/10.1016/j.jbef.2020.100326" TargetMode="External"/><Relationship Id="rId20" Type="http://schemas.openxmlformats.org/officeDocument/2006/relationships/hyperlink" Target="https://doi.org/10.1016/j.physa.2019.123367" TargetMode="External"/><Relationship Id="rId29" Type="http://schemas.openxmlformats.org/officeDocument/2006/relationships/hyperlink" Target="https://doi.org/10.1353/jda.0.0041" TargetMode="External"/><Relationship Id="rId41" Type="http://schemas.openxmlformats.org/officeDocument/2006/relationships/hyperlink" Target="https://doi.org/10.1016/j.ribaf.2016.03.00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1016/j.frl.2017.03.001" TargetMode="External"/><Relationship Id="rId32" Type="http://schemas.openxmlformats.org/officeDocument/2006/relationships/hyperlink" Target="https://doi.org/10.18326/muqtasid.v4i2.287-310" TargetMode="External"/><Relationship Id="rId37" Type="http://schemas.openxmlformats.org/officeDocument/2006/relationships/hyperlink" Target="https://doi.org/10.1108/IJMF-10-2013-0103" TargetMode="External"/><Relationship Id="rId40" Type="http://schemas.openxmlformats.org/officeDocument/2006/relationships/hyperlink" Target="https://doi.org/10.1016/j.jbef.2018.03.004" TargetMode="External"/><Relationship Id="rId45" Type="http://schemas.openxmlformats.org/officeDocument/2006/relationships/hyperlink" Target="https://doi.org/10.1016/j.intfin.2020.101193"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doi.org/10.1016/j.jbef.2019.05.004" TargetMode="External"/><Relationship Id="rId28" Type="http://schemas.openxmlformats.org/officeDocument/2006/relationships/hyperlink" Target="https://doi.org/10.1515/9781400830213-008" TargetMode="External"/><Relationship Id="rId36" Type="http://schemas.openxmlformats.org/officeDocument/2006/relationships/hyperlink" Target="https://doi.org/https:/doi.org/10.1016/j.wds.2024.100175" TargetMode="External"/><Relationship Id="rId49"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doi.org/10.1108/JES-06-2020-0312" TargetMode="External"/><Relationship Id="rId31" Type="http://schemas.openxmlformats.org/officeDocument/2006/relationships/hyperlink" Target="https://doi.org/10.2307/2490855" TargetMode="External"/><Relationship Id="rId44" Type="http://schemas.openxmlformats.org/officeDocument/2006/relationships/hyperlink" Target="https://doi.org/10.1016/j.jbef.2018.11.002"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urnal.unesa.ac.id/index.php/jie" TargetMode="External"/><Relationship Id="rId14" Type="http://schemas.openxmlformats.org/officeDocument/2006/relationships/chart" Target="charts/chart1.xml"/><Relationship Id="rId22" Type="http://schemas.openxmlformats.org/officeDocument/2006/relationships/hyperlink" Target="https://doi.org/10.1016/j.frl.2020.101701" TargetMode="External"/><Relationship Id="rId27" Type="http://schemas.openxmlformats.org/officeDocument/2006/relationships/hyperlink" Target="https://doi.org/10.1016/j.jbef.2018.01.010" TargetMode="External"/><Relationship Id="rId30" Type="http://schemas.openxmlformats.org/officeDocument/2006/relationships/hyperlink" Target="https://doi.org/10.1016/j.ijhm.2005.11.004" TargetMode="External"/><Relationship Id="rId35" Type="http://schemas.openxmlformats.org/officeDocument/2006/relationships/hyperlink" Target="https://doi.org/10.1080/1540496X.2020.1785865" TargetMode="External"/><Relationship Id="rId43" Type="http://schemas.openxmlformats.org/officeDocument/2006/relationships/hyperlink" Target="https://doi.org/10.1016/j.frl.2020.101732" TargetMode="External"/><Relationship Id="rId48" Type="http://schemas.openxmlformats.org/officeDocument/2006/relationships/header" Target="header1.xml"/><Relationship Id="rId8" Type="http://schemas.openxmlformats.org/officeDocument/2006/relationships/hyperlink" Target="https://journal.unesa.ac.id" TargetMode="External"/><Relationship Id="rId51"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hyperlink" Target="https://www.unesa.ac.id/"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hyperlink" Target="https://www.unesa.ac.id/"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hyperlink" Target="https://www.unesa.ac.i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i.org/10.26740/al-uqud.v8n2.p239-25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WINDOWS%208.1\Downloads\Jakarta%20Stock%20Exchange%20Composite%20Index%20Historical%20Data.csv"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JCI</a:t>
            </a:r>
          </a:p>
        </c:rich>
      </c:tx>
      <c:overlay val="0"/>
    </c:title>
    <c:autoTitleDeleted val="0"/>
    <c:plotArea>
      <c:layout/>
      <c:lineChart>
        <c:grouping val="standard"/>
        <c:varyColors val="0"/>
        <c:ser>
          <c:idx val="0"/>
          <c:order val="0"/>
          <c:tx>
            <c:strRef>
              <c:f>'Jakarta Stock Exchange Composit'!$B$1</c:f>
              <c:strCache>
                <c:ptCount val="1"/>
                <c:pt idx="0">
                  <c:v>Price</c:v>
                </c:pt>
              </c:strCache>
            </c:strRef>
          </c:tx>
          <c:marker>
            <c:symbol val="none"/>
          </c:marker>
          <c:cat>
            <c:numRef>
              <c:f>'Jakarta Stock Exchange Composit'!$A$2:$A$64</c:f>
              <c:numCache>
                <c:formatCode>d\-mmm\-yy</c:formatCode>
                <c:ptCount val="63"/>
                <c:pt idx="0">
                  <c:v>43832</c:v>
                </c:pt>
                <c:pt idx="1">
                  <c:v>43833</c:v>
                </c:pt>
                <c:pt idx="2">
                  <c:v>43836</c:v>
                </c:pt>
                <c:pt idx="3">
                  <c:v>43837</c:v>
                </c:pt>
                <c:pt idx="4">
                  <c:v>43838</c:v>
                </c:pt>
                <c:pt idx="5">
                  <c:v>43839</c:v>
                </c:pt>
                <c:pt idx="6">
                  <c:v>43840</c:v>
                </c:pt>
                <c:pt idx="7">
                  <c:v>43843</c:v>
                </c:pt>
                <c:pt idx="8">
                  <c:v>43844</c:v>
                </c:pt>
                <c:pt idx="9">
                  <c:v>43845</c:v>
                </c:pt>
                <c:pt idx="10">
                  <c:v>43846</c:v>
                </c:pt>
                <c:pt idx="11">
                  <c:v>43847</c:v>
                </c:pt>
                <c:pt idx="12">
                  <c:v>43850</c:v>
                </c:pt>
                <c:pt idx="13">
                  <c:v>43851</c:v>
                </c:pt>
                <c:pt idx="14">
                  <c:v>43852</c:v>
                </c:pt>
                <c:pt idx="15">
                  <c:v>43853</c:v>
                </c:pt>
                <c:pt idx="16">
                  <c:v>43854</c:v>
                </c:pt>
                <c:pt idx="17">
                  <c:v>43857</c:v>
                </c:pt>
                <c:pt idx="18">
                  <c:v>43858</c:v>
                </c:pt>
                <c:pt idx="19">
                  <c:v>43859</c:v>
                </c:pt>
                <c:pt idx="20">
                  <c:v>43860</c:v>
                </c:pt>
                <c:pt idx="21">
                  <c:v>43861</c:v>
                </c:pt>
                <c:pt idx="22">
                  <c:v>43864</c:v>
                </c:pt>
                <c:pt idx="23">
                  <c:v>43865</c:v>
                </c:pt>
                <c:pt idx="24">
                  <c:v>43866</c:v>
                </c:pt>
                <c:pt idx="25">
                  <c:v>43867</c:v>
                </c:pt>
                <c:pt idx="26">
                  <c:v>43868</c:v>
                </c:pt>
                <c:pt idx="27">
                  <c:v>43871</c:v>
                </c:pt>
                <c:pt idx="28">
                  <c:v>43872</c:v>
                </c:pt>
                <c:pt idx="29">
                  <c:v>43873</c:v>
                </c:pt>
                <c:pt idx="30">
                  <c:v>43874</c:v>
                </c:pt>
                <c:pt idx="31">
                  <c:v>43875</c:v>
                </c:pt>
                <c:pt idx="32">
                  <c:v>43878</c:v>
                </c:pt>
                <c:pt idx="33">
                  <c:v>43879</c:v>
                </c:pt>
                <c:pt idx="34">
                  <c:v>43880</c:v>
                </c:pt>
                <c:pt idx="35">
                  <c:v>43881</c:v>
                </c:pt>
                <c:pt idx="36">
                  <c:v>43882</c:v>
                </c:pt>
                <c:pt idx="37">
                  <c:v>43885</c:v>
                </c:pt>
                <c:pt idx="38">
                  <c:v>43886</c:v>
                </c:pt>
                <c:pt idx="39">
                  <c:v>43887</c:v>
                </c:pt>
                <c:pt idx="40">
                  <c:v>43888</c:v>
                </c:pt>
                <c:pt idx="41">
                  <c:v>43889</c:v>
                </c:pt>
                <c:pt idx="42">
                  <c:v>43892</c:v>
                </c:pt>
                <c:pt idx="43">
                  <c:v>43893</c:v>
                </c:pt>
                <c:pt idx="44">
                  <c:v>43894</c:v>
                </c:pt>
                <c:pt idx="45">
                  <c:v>43895</c:v>
                </c:pt>
                <c:pt idx="46">
                  <c:v>43896</c:v>
                </c:pt>
                <c:pt idx="47">
                  <c:v>43899</c:v>
                </c:pt>
                <c:pt idx="48">
                  <c:v>43900</c:v>
                </c:pt>
                <c:pt idx="49">
                  <c:v>43901</c:v>
                </c:pt>
                <c:pt idx="50">
                  <c:v>43902</c:v>
                </c:pt>
                <c:pt idx="51">
                  <c:v>43903</c:v>
                </c:pt>
                <c:pt idx="52">
                  <c:v>43906</c:v>
                </c:pt>
                <c:pt idx="53">
                  <c:v>43907</c:v>
                </c:pt>
                <c:pt idx="54">
                  <c:v>43908</c:v>
                </c:pt>
                <c:pt idx="55">
                  <c:v>43909</c:v>
                </c:pt>
                <c:pt idx="56">
                  <c:v>43910</c:v>
                </c:pt>
                <c:pt idx="57">
                  <c:v>43913</c:v>
                </c:pt>
                <c:pt idx="58">
                  <c:v>43914</c:v>
                </c:pt>
                <c:pt idx="59">
                  <c:v>43916</c:v>
                </c:pt>
                <c:pt idx="60">
                  <c:v>43917</c:v>
                </c:pt>
                <c:pt idx="61">
                  <c:v>43920</c:v>
                </c:pt>
                <c:pt idx="62">
                  <c:v>43921</c:v>
                </c:pt>
              </c:numCache>
            </c:numRef>
          </c:cat>
          <c:val>
            <c:numRef>
              <c:f>'Jakarta Stock Exchange Composit'!$B$2:$B$64</c:f>
              <c:numCache>
                <c:formatCode>#,##0.00</c:formatCode>
                <c:ptCount val="63"/>
                <c:pt idx="0">
                  <c:v>6283.58</c:v>
                </c:pt>
                <c:pt idx="1">
                  <c:v>6323.47</c:v>
                </c:pt>
                <c:pt idx="2">
                  <c:v>6257.4</c:v>
                </c:pt>
                <c:pt idx="3">
                  <c:v>6279.35</c:v>
                </c:pt>
                <c:pt idx="4">
                  <c:v>6225.69</c:v>
                </c:pt>
                <c:pt idx="5">
                  <c:v>6274.49</c:v>
                </c:pt>
                <c:pt idx="6">
                  <c:v>6274.94</c:v>
                </c:pt>
                <c:pt idx="7">
                  <c:v>6296.57</c:v>
                </c:pt>
                <c:pt idx="8">
                  <c:v>6325.41</c:v>
                </c:pt>
                <c:pt idx="9">
                  <c:v>6283.37</c:v>
                </c:pt>
                <c:pt idx="10">
                  <c:v>6286.05</c:v>
                </c:pt>
                <c:pt idx="11">
                  <c:v>6291.66</c:v>
                </c:pt>
                <c:pt idx="12">
                  <c:v>6245.04</c:v>
                </c:pt>
                <c:pt idx="13">
                  <c:v>6238.15</c:v>
                </c:pt>
                <c:pt idx="14">
                  <c:v>6233.45</c:v>
                </c:pt>
                <c:pt idx="15">
                  <c:v>6249.21</c:v>
                </c:pt>
                <c:pt idx="16">
                  <c:v>6244.11</c:v>
                </c:pt>
                <c:pt idx="17">
                  <c:v>6133.21</c:v>
                </c:pt>
                <c:pt idx="18">
                  <c:v>6111.18</c:v>
                </c:pt>
                <c:pt idx="19">
                  <c:v>6113.04</c:v>
                </c:pt>
                <c:pt idx="20">
                  <c:v>6057.6</c:v>
                </c:pt>
                <c:pt idx="21">
                  <c:v>5940.05</c:v>
                </c:pt>
                <c:pt idx="22">
                  <c:v>5884.17</c:v>
                </c:pt>
                <c:pt idx="23">
                  <c:v>5922.34</c:v>
                </c:pt>
                <c:pt idx="24">
                  <c:v>5978.51</c:v>
                </c:pt>
                <c:pt idx="25">
                  <c:v>5987.15</c:v>
                </c:pt>
                <c:pt idx="26">
                  <c:v>5999.61</c:v>
                </c:pt>
                <c:pt idx="27">
                  <c:v>5952.08</c:v>
                </c:pt>
                <c:pt idx="28">
                  <c:v>5954.4</c:v>
                </c:pt>
                <c:pt idx="29">
                  <c:v>5913.08</c:v>
                </c:pt>
                <c:pt idx="30">
                  <c:v>5871.95</c:v>
                </c:pt>
                <c:pt idx="31">
                  <c:v>5866.94</c:v>
                </c:pt>
                <c:pt idx="32">
                  <c:v>5867.52</c:v>
                </c:pt>
                <c:pt idx="33">
                  <c:v>5886.96</c:v>
                </c:pt>
                <c:pt idx="34">
                  <c:v>5928.79</c:v>
                </c:pt>
                <c:pt idx="35">
                  <c:v>5942.49</c:v>
                </c:pt>
                <c:pt idx="36">
                  <c:v>5882.25</c:v>
                </c:pt>
                <c:pt idx="37">
                  <c:v>5807.05</c:v>
                </c:pt>
                <c:pt idx="38">
                  <c:v>5787.14</c:v>
                </c:pt>
                <c:pt idx="39">
                  <c:v>5688.92</c:v>
                </c:pt>
                <c:pt idx="40">
                  <c:v>5535.69</c:v>
                </c:pt>
                <c:pt idx="41">
                  <c:v>5452.7</c:v>
                </c:pt>
                <c:pt idx="42">
                  <c:v>5361.25</c:v>
                </c:pt>
                <c:pt idx="43">
                  <c:v>5518.63</c:v>
                </c:pt>
                <c:pt idx="44">
                  <c:v>5650.14</c:v>
                </c:pt>
                <c:pt idx="45">
                  <c:v>5638.13</c:v>
                </c:pt>
                <c:pt idx="46">
                  <c:v>5498.54</c:v>
                </c:pt>
                <c:pt idx="47">
                  <c:v>5136.8100000000004</c:v>
                </c:pt>
                <c:pt idx="48">
                  <c:v>5220.83</c:v>
                </c:pt>
                <c:pt idx="49">
                  <c:v>5154.1000000000004</c:v>
                </c:pt>
                <c:pt idx="50">
                  <c:v>4895.75</c:v>
                </c:pt>
                <c:pt idx="51">
                  <c:v>4907.57</c:v>
                </c:pt>
                <c:pt idx="52">
                  <c:v>4690.66</c:v>
                </c:pt>
                <c:pt idx="53">
                  <c:v>4456.75</c:v>
                </c:pt>
                <c:pt idx="54">
                  <c:v>4330.67</c:v>
                </c:pt>
                <c:pt idx="55">
                  <c:v>4105.42</c:v>
                </c:pt>
                <c:pt idx="56">
                  <c:v>4194.9399999999996</c:v>
                </c:pt>
                <c:pt idx="57">
                  <c:v>3989.52</c:v>
                </c:pt>
                <c:pt idx="58">
                  <c:v>3937.63</c:v>
                </c:pt>
                <c:pt idx="59">
                  <c:v>4338.8999999999996</c:v>
                </c:pt>
                <c:pt idx="60">
                  <c:v>4545.57</c:v>
                </c:pt>
                <c:pt idx="61">
                  <c:v>4414.5</c:v>
                </c:pt>
                <c:pt idx="62">
                  <c:v>4538.93</c:v>
                </c:pt>
              </c:numCache>
            </c:numRef>
          </c:val>
          <c:smooth val="0"/>
          <c:extLst>
            <c:ext xmlns:c16="http://schemas.microsoft.com/office/drawing/2014/chart" uri="{C3380CC4-5D6E-409C-BE32-E72D297353CC}">
              <c16:uniqueId val="{00000000-A8D8-44A0-919B-FCA96840B218}"/>
            </c:ext>
          </c:extLst>
        </c:ser>
        <c:dLbls>
          <c:showLegendKey val="0"/>
          <c:showVal val="0"/>
          <c:showCatName val="0"/>
          <c:showSerName val="0"/>
          <c:showPercent val="0"/>
          <c:showBubbleSize val="0"/>
        </c:dLbls>
        <c:smooth val="0"/>
        <c:axId val="204294408"/>
        <c:axId val="204294800"/>
      </c:lineChart>
      <c:dateAx>
        <c:axId val="204294408"/>
        <c:scaling>
          <c:orientation val="minMax"/>
        </c:scaling>
        <c:delete val="0"/>
        <c:axPos val="b"/>
        <c:numFmt formatCode="d\-mmm\-yy" sourceLinked="1"/>
        <c:majorTickMark val="none"/>
        <c:minorTickMark val="none"/>
        <c:tickLblPos val="nextTo"/>
        <c:crossAx val="204294800"/>
        <c:crosses val="autoZero"/>
        <c:auto val="1"/>
        <c:lblOffset val="100"/>
        <c:baseTimeUnit val="days"/>
      </c:dateAx>
      <c:valAx>
        <c:axId val="204294800"/>
        <c:scaling>
          <c:orientation val="minMax"/>
        </c:scaling>
        <c:delete val="0"/>
        <c:axPos val="l"/>
        <c:majorGridlines/>
        <c:title>
          <c:tx>
            <c:rich>
              <a:bodyPr/>
              <a:lstStyle/>
              <a:p>
                <a:pPr>
                  <a:defRPr/>
                </a:pPr>
                <a:r>
                  <a:rPr lang="en-US"/>
                  <a:t>Index Level</a:t>
                </a:r>
              </a:p>
            </c:rich>
          </c:tx>
          <c:overlay val="0"/>
        </c:title>
        <c:numFmt formatCode="#,##0.00" sourceLinked="1"/>
        <c:majorTickMark val="none"/>
        <c:minorTickMark val="none"/>
        <c:tickLblPos val="nextTo"/>
        <c:crossAx val="2042944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08AC83-B0D7-4754-8815-701BA76E457E}">
  <we:reference id="wa104382081" version="1.55.1.0" store="en-US" storeType="OMEX"/>
  <we:alternateReferences>
    <we:reference id="wa104382081" version="1.55.1.0" store="en-US" storeType="OMEX"/>
  </we:alternateReferences>
  <we:properties>
    <we:property name="MENDELEY_CITATIONS" value="[{&quot;citationID&quot;:&quot;MENDELEY_CITATION_810550ac-82aa-47c3-9f8d-b0181caf1e7c&quot;,&quot;properties&quot;:{&quot;noteIndex&quot;:0},&quot;isEdited&quot;:false,&quot;manualOverride&quot;:{&quot;citeprocText&quot;:&quot;(Amanah, 2020)&quot;,&quot;isManuallyOverridden&quot;:true,&quot;manualOverrideText&quot;:&quot;(Amanah, 2020;&quot;},&quot;citationTag&quot;:&quot;MENDELEY_CITATION_v3_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&quot;,&quot;citationItems&quot;:[{&quot;id&quot;:&quot;34c2dbfa-49fa-5b39-aff2-35faee997192&quot;,&quot;itemData&quot;:{&quot;author&quot;:[{&quot;dropping-particle&quot;:&quot;&quot;,&quot;family&quot;:&quot;Amanah&quot;,&quot;given&quot;:&quot;&quot;,&quot;non-dropping-particle&quot;:&quot;&quot;,&quot;parse-names&quot;:false,&quot;suffix&quot;:&quot;&quot;}],&quot;id&quot;:&quot;34c2dbfa-49fa-5b39-aff2-35faee997192&quot;,&quot;issue&quot;:&quot;2&quot;,&quot;issued&quot;:{&quot;date-parts&quot;:[[&quot;2020&quot;]]},&quot;page&quot;:&quot;447-459&quot;,&quot;title&quot;:&quot;Determinant Return on Assets on Rural Banks in Indonesia&quot;,&quot;type&quot;:&quot;article-journal&quot;,&quot;volume&quot;:&quot;13&quot;,&quot;container-title-short&quot;:&quot;&quot;},&quot;uris&quot;:[&quot;http://www.mendeley.com/documents/?uuid=2867e5cf-0358-43e5-8419-97551d4b274a&quot;],&quot;isTemporary&quot;:false,&quot;legacyDesktopId&quot;:&quot;2867e5cf-0358-43e5-8419-97551d4b274a&quot;}]},{&quot;citationID&quot;:&quot;MENDELEY_CITATION_ac4bf685-67ab-4671-9e14-6e5415f7af38&quot;,&quot;properties&quot;:{&quot;noteIndex&quot;:0},&quot;isEdited&quot;:false,&quot;manualOverride&quot;:{&quot;citeprocText&quot;:&quot;(Kartika et al., 2020)&quot;,&quot;isManuallyOverridden&quot;:true,&quot;manualOverrideText&quot;:&quot;Kartika et al., 2020;&quot;},&quot;citationTag&quot;:&quot;MENDELEY_CITATION_v3_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&quot;,&quot;citationItems&quot;:[{&quot;id&quot;:&quot;f1686540-adf5-592e-814d-32cd74c97159&quot;,&quot;itemData&quot;:{&quot;author&quot;:[{&quot;dropping-particle&quot;:&quot;&quot;,&quot;family&quot;:&quot;Kartika&quot;,&quot;given&quot;:&quot;Rika&quot;,&quot;non-dropping-particle&quot;:&quot;&quot;,&quot;parse-names&quot;:false,&quot;suffix&quot;:&quot;&quot;},{&quot;dropping-particle&quot;:&quot;&quot;,&quot;family&quot;:&quot;Jubaedah&quot;,&quot;given&quot;:&quot;Siti&quot;,&quot;non-dropping-particle&quot;:&quot;&quot;,&quot;parse-names&quot;:false,&quot;suffix&quot;:&quot;&quot;},{&quot;dropping-particle&quot;:&quot;&quot;,&quot;family&quot;:&quot;Astuti&quot;,&quot;given&quot;:&quot;Apri Dwi&quot;,&quot;non-dropping-particle&quot;:&quot;&quot;,&quot;parse-names&quot;:false,&quot;suffix&quot;:&quot;&quot;}],&quot;id&quot;:&quot;f1686540-adf5-592e-814d-32cd74c97159&quot;,&quot;issue&quot;:&quot;Icamer 2019&quot;,&quot;issued&quot;:{&quot;date-parts&quot;:[[&quot;2020&quot;]]},&quot;page&quot;:&quot;136-140&quot;,&quot;title&quot;:&quot;The Influence of Financing to Deposit Ratio , Return on Assets and Non Performing Finance on Profit Sharing Finance of Sharia Banks in Indonesia&quot;,&quot;type&quot;:&quot;article-journal&quot;,&quot;volume&quot;:&quot;123&quot;,&quot;container-title-short&quot;:&quot;&quot;},&quot;uris&quot;:[&quot;http://www.mendeley.com/documents/?uuid=a1120edb-64b6-49d2-9638-ac40ba50b641&quot;],&quot;isTemporary&quot;:false,&quot;legacyDesktopId&quot;:&quot;a1120edb-64b6-49d2-9638-ac40ba50b641&quot;}]},{&quot;citationID&quot;:&quot;MENDELEY_CITATION_2e6815ba-a509-44bb-a3f8-634b86303e67&quot;,&quot;properties&quot;:{&quot;noteIndex&quot;:0},&quot;isEdited&quot;:false,&quot;manualOverride&quot;:{&quot;citeprocText&quot;:&quot;(Risma, 2017)&quot;,&quot;isManuallyOverridden&quot;:true,&quot;manualOverrideText&quot;:&quot;Risma, 2017)&quot;},&quot;citationTag&quot;:&quot;MENDELEY_CITATION_v3_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&quot;,&quot;citationItems&quot;:[{&quot;id&quot;:&quot;78568acb-0f66-58c2-9106-4df04bec6ff7&quot;,&quot;itemData&quot;:{&quot;author&quot;:[{&quot;dropping-particle&quot;:&quot;&quot;,&quot;family&quot;:&quot;Risma&quot;,&quot;given&quot;:&quot;&quot;,&quot;non-dropping-particle&quot;:&quot;&quot;,&quot;parse-names&quot;:false,&quot;suffix&quot;:&quot;&quot;}],&quot;id&quot;:&quot;78568acb-0f66-58c2-9106-4df04bec6ff7&quot;,&quot;issue&quot;:&quot;2&quot;,&quot;issued&quot;:{&quot;date-parts&quot;:[[&quot;2017&quot;]]},&quot;page&quot;:&quot;135-143&quot;,&quot;title&quot;:&quot;INFLUENCE OF THIRD-PARTY FUNDS, CAR, NPF AND FDR TOWARDS THE RETURN ON ASSETS OF ISLAMIC BANKS IN INDONESIA Risma Ayu Kinanti *) Purwohandoko **)&quot;,&quot;type&quot;:&quot;article-journal&quot;,&quot;volume&quot;:&quot;14&quot;,&quot;container-title-short&quot;:&quot;&quot;},&quot;uris&quot;:[&quot;http://www.mendeley.com/documents/?uuid=8817a94d-c9f9-4ab2-b54e-9982f396253b&quot;],&quot;isTemporary&quot;:false,&quot;legacyDesktopId&quot;:&quot;8817a94d-c9f9-4ab2-b54e-9982f396253b&quot;}]},{&quot;citationID&quot;:&quot;MENDELEY_CITATION_91bc006f-4ea3-4256-83d7-4381c93a38f2&quot;,&quot;properties&quot;:{&quot;noteIndex&quot;:0},&quot;isEdited&quot;:false,&quot;manualOverride&quot;:{&quot;citeprocText&quot;:&quot;(C. I. P. Sari &amp;#38; Sulaeman, 2021)&quot;,&quot;isManuallyOverridden&quot;:true,&quot;manualOverrideText&quot;:&quot;(Sari &amp; Sulaeman, 2021;&quot;},&quot;citationTag&quot;:&quot;MENDELEY_CITATION_v3_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&quot;,&quot;citationItems&quot;:[{&quot;id&quot;:&quot;0f73ee85-a36f-551d-bb82-186ee5c43ee4&quot;,&quot;itemData&quot;:{&quot;DOI&quot;:&quot;10.31000/almaal.v2i2.3111&quot;,&quot;abstract&quot;:&quot;This study aims to determine the effect of murabahah financing, mudharabah financing and musyarakah financing on the level of profitability. This research was conducted using quantitative methods with an associative approach. The object of this research is the three Sharia Commercial Bank financial statements for the period 2016-2019 as many as three Islamic Commercial Banks and a sample of 48 financial reports. In this study, sampling was using purposive sampling technique. Data collection techniques using secondary data. The data analysis technique used is the classical assumption test, multiple linear analysis, and hypothesis testing. The results of this study indicate that murabahah financing has a positive effect on ROA with a significant level of 0.000. Mudharabah financing has a positive effect on ROA with a significant level of 0.000. Meanwhile, musyarakah financing has no positive effect on ROA with a significance level of 0.000. Meanwhile, simultaneously Murabahah Financing, Mudharabah Financing and Musharaka Financing have an effect of 91% on the level of Profitability at Islamic Commercial Banks in Indonesia for the period 2016-2019, the remaining 9% is influenced by other factors not examined by the authors in this study&quot;,&quot;author&quot;:[{&quot;dropping-particle&quot;:&quot;&quot;,&quot;family&quot;:&quot;Sari&quot;,&quot;given&quot;:&quot;Citra Intan Purnama&quot;,&quot;non-dropping-particle&quot;:&quot;&quot;,&quot;parse-names&quot;:false,&quot;suffix&quot;:&quot;&quot;},{&quot;dropping-particle&quot;:&quot;&quot;,&quot;family&quot;:&quot;Sulaeman&quot;,&quot;given&quot;:&quot;Sulaeman&quot;,&quot;non-dropping-particle&quot;:&quot;&quot;,&quot;parse-names&quot;:false,&quot;suffix&quot;:&quot;&quot;}],&quot;container-title&quot;:&quot;Al Maal: Journal of Islamic Economics and Banking&quot;,&quot;id&quot;:&quot;0f73ee85-a36f-551d-bb82-186ee5c43ee4&quot;,&quot;issue&quot;:&quot;2&quot;,&quot;issued&quot;:{&quot;date-parts&quot;:[[&quot;2021&quot;]]},&quot;page&quot;:&quot;160&quot;,&quot;title&quot;:&quot;Pengaruh Pembiayaan Murabahah, Pembiayaan Mudharabah dan Pembiayaan Musyarakah Terhadap Profitabilitas&quot;,&quot;type&quot;:&quot;article-journal&quot;,&quot;volume&quot;:&quot;2&quot;,&quot;container-title-short&quot;:&quot;&quot;},&quot;uris&quot;:[&quot;http://www.mendeley.com/documents/?uuid=80806228-23a4-4c13-8c74-771a7e0dcba6&quot;],&quot;isTemporary&quot;:false,&quot;legacyDesktopId&quot;:&quot;80806228-23a4-4c13-8c74-771a7e0dcba6&quot;}]},{&quot;citationID&quot;:&quot;MENDELEY_CITATION_b59c2afa-f291-4746-9d36-11519f1cab1b&quot;,&quot;properties&quot;:{&quot;noteIndex&quot;:0},&quot;isEdited&quot;:false,&quot;manualOverride&quot;:{&quot;citeprocText&quot;:&quot;(Yusuf et al., 2019)&quot;,&quot;isManuallyOverridden&quot;:true,&quot;manualOverrideText&quot;:&quot;Yusuf et al., 2019);&quot;},&quot;citationTag&quot;:&quot;MENDELEY_CITATION_v3_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&quot;,&quot;citationItems&quot;:[{&quot;id&quot;:&quot;02bf9067-0f3b-5b7e-b75e-be0491abfd28&quot;,&quot;itemData&quot;:{&quot;DOI&quot;:&quot;10.33258/biarjohs.v1i1.18&quot;,&quot;ISSN&quot;:&quot;2685-1989&quot;,&quot;abstract&quot;:&quot;The aim of this study is to determine the effect of buy and sell financing (murabahah), profit share financing (mudarabah), equity capital financing (musyarakah) and non-performing financing (NPF) ratio  as a whole (Simultaneous) on profitability level of Sharia Commercial Banks in North Sumatera. The population of the study are all Sharia Commercial Banks in North Sumatera which amounted to 6 banks. The population in this study is the annual financial reports regarding Islamic banking which taken from the financial reports of each banks for the period 2011-2015. The sample is done by nonrandom (nonprobability sampling) with purposive sampling method which is done by taking samples from the population based on certain criteria. Based on the results of secondary data processing with data analysis technique used is multiple regression analysis and classical assumption (normality test, heterokedastisitas, multikoliniearitas, autocorrelation and also significance test (t test, F test, the coefficient of determination). It is known that buy and sell financing (murabahah), profit share financing (mudarabah), equity capital financing (musyarakah) and non-performing financing (NPF) ratio simultaneously has a significant effect on ROA.&quot;,&quot;author&quot;:[{&quot;dropping-particle&quot;:&quot;&quot;,&quot;family&quot;:&quot;Yusuf&quot;,&quot;given&quot;:&quot;Daniel&quot;,&quot;non-dropping-particle&quot;:&quot;&quot;,&quot;parse-names&quot;:false,&quot;suffix&quot;:&quot;&quot;},{&quot;dropping-particle&quot;:&quot;&quot;,&quot;family&quot;:&quot;Hamdani&quot;,&quot;given&quot;:&quot;&quot;,&quot;non-dropping-particle&quot;:&quot;&quot;,&quot;parse-names&quot;:false,&quot;suffix&quot;:&quot;&quot;},{&quot;dropping-particle&quot;:&quot;&quot;,&quot;family&quot;:&quot;Kholik&quot;,&quot;given&quot;:&quot;Kholilul&quot;,&quot;non-dropping-particle&quot;:&quot;&quot;,&quot;parse-names&quot;:false,&quot;suffix&quot;:&quot;&quot;}],&quot;container-title&quot;:&quot;Britain International of Humanities and Social Sciences (BIoHS) Journal&quot;,&quot;id&quot;:&quot;02bf9067-0f3b-5b7e-b75e-be0491abfd28&quot;,&quot;issue&quot;:&quot;1&quot;,&quot;issued&quot;:{&quot;date-parts&quot;:[[&quot;2019&quot;]]},&quot;page&quot;:&quot;81-88&quot;,&quot;title&quot;:&quot;The Effect of Buy and Sell Financing (Murabahah), Profit Share Financing (Mudarabah), Equity Capital Financing (Musyarakah) and Non-Performing Financing Ratio on Profitability Level of Sharia Commercial Banks in North Sumatera&quot;,&quot;type&quot;:&quot;article-journal&quot;,&quot;volume&quot;:&quot;1&quot;,&quot;container-title-short&quot;:&quot;&quot;},&quot;uris&quot;:[&quot;http://www.mendeley.com/documents/?uuid=bceb73b6-7e7c-4466-9c7c-3ba8c805d1a0&quot;],&quot;isTemporary&quot;:false,&quot;legacyDesktopId&quot;:&quot;bceb73b6-7e7c-4466-9c7c-3ba8c805d1a0&quot;}]},{&quot;citationID&quot;:&quot;MENDELEY_CITATION_a937777a-9785-4f58-ba33-00545fc64b71&quot;,&quot;properties&quot;:{&quot;noteIndex&quot;:0},&quot;isEdited&quot;:false,&quot;manualOverride&quot;:{&quot;citeprocText&quot;:&quot;(F. Y. Sari &amp;#38; Akbar, 2021)&quot;,&quot;isManuallyOverridden&quot;:true,&quot;manualOverrideText&quot;:&quot;Sari &amp; Akbar, 2021)&quot;},&quot;citationTag&quot;:&quot;MENDELEY_CITATION_v3_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&quot;,&quot;citationItems&quot;:[{&quot;id&quot;:&quot;ba61fa22-1078-508b-8085-eedf463f1b80&quot;,&quot;itemData&quot;:{&quot;DOI&quot;:&quot;10.33087/eksis.v12i1.234&quot;,&quot;ISSN&quot;:&quot;2087-5304&quot;,&quot;abstract&quot;:&quot;This research has the objective of knowing and testing mudharabah and musyarakah financing whether or not there is an effect on net income at PT Bank BRI Syariah in 2018-2020. This research uses a quantitative descriptive method using secondary data derived from financial reports in the form of mudharabah financing data, musyarakah financing and net profit after tax from 2018 to 2020. This research uses an analytical tool, namely multiple linear regression. The SPSS 23.0 application was used to test the data in this study. Mudharabah and musyarakah financing based on the results of data analysis show that the net income together has a significant effect. This data analysis test shows that mudharabah financing on net income does not have a significant effect, meaning that if there is an increase or decrease in mudharabah financing, it will not affect the bank's net profit. Otherwise, musyarakah financing has a significant and positive effect on net income, meaning that the greater the income earned through musyarakah financing, the higher the Bank's net profit.&quot;,&quot;author&quot;:[{&quot;dropping-particle&quot;:&quot;&quot;,&quot;family&quot;:&quot;Sari&quot;,&quot;given&quot;:&quot;Fitria Yulia&quot;,&quot;non-dropping-particle&quot;:&quot;&quot;,&quot;parse-names&quot;:false,&quot;suffix&quot;:&quot;&quot;},{&quot;dropping-particle&quot;:&quot;&quot;,&quot;family&quot;:&quot;Akbar&quot;,&quot;given&quot;:&quot;Nahruddien&quot;,&quot;non-dropping-particle&quot;:&quot;&quot;,&quot;parse-names&quot;:false,&quot;suffix&quot;:&quot;&quot;}],&quot;container-title&quot;:&quot;Eksis: Jurnal Ilmiah Ekonomi dan Bisnis&quot;,&quot;id&quot;:&quot;ba61fa22-1078-508b-8085-eedf463f1b80&quot;,&quot;issue&quot;:&quot;1&quot;,&quot;issued&quot;:{&quot;date-parts&quot;:[[&quot;2021&quot;]]},&quot;page&quot;:&quot;11&quot;,&quot;title&quot;:&quot;Pengaruh Pembiayaan Mudharabah dan Pembiayaan Musyarakah Terhadap Laba Bersih PT. Bank BRI Syariah&quot;,&quot;type&quot;:&quot;article-journal&quot;,&quot;volume&quot;:&quot;12&quot;,&quot;container-title-short&quot;:&quot;&quot;},&quot;uris&quot;:[&quot;http://www.mendeley.com/documents/?uuid=c255cfc5-7923-4f84-9a39-30688a5c84e6&quot;],&quot;isTemporary&quot;:false,&quot;legacyDesktopId&quot;:&quot;c255cfc5-7923-4f84-9a39-30688a5c84e6&quot;}]},{&quot;citationID&quot;:&quot;MENDELEY_CITATION_67b0f9e9-385a-4db7-8a38-181fa551cf04&quot;,&quot;properties&quot;:{&quot;noteIndex&quot;:0},&quot;isEdited&quot;:false,&quot;manualOverride&quot;:{&quot;citeprocText&quot;:&quot;(Putri, 2014)&quot;,&quot;isManuallyOverridden&quot;:false,&quot;manualOverrideText&quot;:&quot;&quot;},&quot;citationTag&quot;:&quot;MENDELEY_CITATION_v3_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&quot;,&quot;citationItems&quot;:[{&quot;id&quot;:&quot;676141ae-50af-523a-bf50-a8a557162229&quot;,&quot;itemData&quot;:{&quot;author&quot;:[{&quot;dropping-particle&quot;:&quot;&quot;,&quot;family&quot;:&quot;Putri&quot;,&quot;given&quot;:&quot;Deasy Rahmi&quot;,&quot;non-dropping-particle&quot;:&quot;&quot;,&quot;parse-names&quot;:false,&quot;suffix&quot;:&quot;&quot;}],&quot;id&quot;:&quot;676141ae-50af-523a-bf50-a8a557162229&quot;,&quot;issue&quot;:&quot;1&quot;,&quot;issued&quot;:{&quot;date-parts&quot;:[[&quot;2014&quot;]]},&quot;page&quot;:&quot;1-24&quot;,&quot;title&quot;:&quot;Pengaruh pembiayaan mudharabah,musyarakah, murabahah, istishna dan ijarah terhadap profitabilitas pada bank umum syariah di indonesia&quot;,&quot;type&quot;:&quot;article-journal&quot;,&quot;volume&quot;:&quot;8&quot;,&quot;container-title-short&quot;:&quot;&quot;},&quot;uris&quot;:[&quot;http://www.mendeley.com/documents/?uuid=93f4889a-10f8-4ccf-9447-6308c0a4d99c&quot;],&quot;isTemporary&quot;:false,&quot;legacyDesktopId&quot;:&quot;93f4889a-10f8-4ccf-9447-6308c0a4d99c&quot;}]},{&quot;citationID&quot;:&quot;MENDELEY_CITATION_39c30eb0-ee74-47eb-b5c0-a74a8b2e6edf&quot;,&quot;properties&quot;:{&quot;noteIndex&quot;:0},&quot;isEdited&quot;:false,&quot;manualOverride&quot;:{&quot;citeprocText&quot;:&quot;(Fatmawati &amp;#38; Hakim, 2020)&quot;,&quot;isManuallyOverridden&quot;:true,&quot;manualOverrideText&quot;:&quot;(Fatmawati &amp; Hakim, 2020&quot;},&quot;citationTag&quot;:&quot;MENDELEY_CITATION_v3_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&quot;,&quot;citationItems&quot;:[{&quot;id&quot;:&quot;cc9730da-0fed-56de-8b19-0eaaabdb8676&quot;,&quot;itemData&quot;:{&quot;DOI&quot;:&quot;10.29300/ba.v5i1.3115&quot;,&quot;ISSN&quot;:&quot;2527-4163&quot;,&quot;abstract&quot;:&quot;The ability of banks to generate profitability greatly impacts the growth and development of sharia banking. In maintaining and enhancing the growth of sharia banking, several components, both internal and external, are needed. The low profitability of banks indicates that banks are not good in their performance. Profitability is still something that is always wanted to be improved by Islamic banking because it sees the movement of Islamic banking growth that is still lagging far behind that of conventional banking. will be able to increase profitability. The purpose of this study is to determine the effect of FDR, BOPO, and exchange rates on the level of profitability (ROA). To determine the effect of NPF and interest rates on the level of profitability (ROA). To find out the influence of Mudharabah Financing, musyarakah financing and murabahah financing on profitability (ROA). This research uses a quantitative approach. The type of data used in this study is secondary data in the form of time series data. This study shows that FDR, BOPO, and exchange rates have a negative and significant effect on the level of profitability (ROA). NPF and interest rates have a negative and not significant effect on the level of profitability (ROA). Mudharabah financing, musyarakah financing and murabahah financing have a positive and not significant effect on profitability (ROA).&quot;,&quot;author&quot;:[{&quot;dropping-particle&quot;:&quot;&quot;,&quot;family&quot;:&quot;Fatmawati&quot;,&quot;given&quot;:&quot;Nur Lailatul&quot;,&quot;non-dropping-particle&quot;:&quot;&quot;,&quot;parse-names&quot;:false,&quot;suffix&quot;:&quot;&quot;},{&quot;dropping-particle&quot;:&quot;&quot;,&quot;family&quot;:&quot;Hakim&quot;,&quot;given&quot;:&quot;Abdul&quot;,&quot;non-dropping-particle&quot;:&quot;&quot;,&quot;parse-names&quot;:false,&quot;suffix&quot;:&quot;&quot;}],&quot;container-title&quot;:&quot;Jurnal BAABU AL-ILMI: Ekonomi dan Perbankan Syariah&quot;,&quot;id&quot;:&quot;cc9730da-0fed-56de-8b19-0eaaabdb8676&quot;,&quot;issue&quot;:&quot;1&quot;,&quot;issued&quot;:{&quot;date-parts&quot;:[[&quot;2020&quot;]]},&quot;page&quot;:&quot;1&quot;,&quot;title&quot;:&quot;Analisis Tingkat Profitabilitas Perbankan Syariah di Indonesia&quot;,&quot;type&quot;:&quot;article-journal&quot;,&quot;volume&quot;:&quot;5&quot;,&quot;container-title-short&quot;:&quot;&quot;},&quot;uris&quot;:[&quot;http://www.mendeley.com/documents/?uuid=4391e264-c268-4508-91f3-80822c807c10&quot;],&quot;isTemporary&quot;:false,&quot;legacyDesktopId&quot;:&quot;4391e264-c268-4508-91f3-80822c807c10&quot;}]},{&quot;citationID&quot;:&quot;MENDELEY_CITATION_0f62a0c8-6865-498d-a7d0-457117affc35&quot;,&quot;properties&quot;:{&quot;noteIndex&quot;:0},&quot;isEdited&quot;:false,&quot;manualOverride&quot;:{&quot;citeprocText&quot;:&quot;(Khasanah &amp;#38; Mukmin, 2020)&quot;,&quot;isManuallyOverridden&quot;:true,&quot;manualOverrideText&quot;:&quot;Khasanah &amp; Mukmin, 2020;&quot;},&quot;citationTag&quot;:&quot;MENDELEY_CITATION_v3_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&quot;,&quot;citationItems&quot;:[{&quot;id&quot;:&quot;251be734-ca67-53d7-b677-9f5f4620433a&quot;,&quot;itemData&quot;:{&quot;DOI&quot;:&quot;10.37092/el-ghiroh.v18i2.234&quot;,&quot;ISSN&quot;:&quot;2087-7854&quot;,&quot;abstract&quot;:&quot;The purpose of this study was to determine whether Mudharabah, Musyarakah, and Murabahah financing affected the profitability of Islamic Commercial Banks in Indonesia for the 2015-2019 period. This type of research is quantitative research. Quantitative research is to explain the position of the variables studied as well as the relationship between one variable with another variable. The research method used in this study uses descriptive quantitative research methods using multiple linear regression test. The quantitative method in this study was to examine the influence of Mudharabah, Musyarakah, and Murabahah financing on the profitability of Islamic Commercial Banks in 2015-2019. Based on the analysis and discussion of data described in the previous chapter on the effect of mudharabah, musyarakah, and murabahah financing on profitability (ROA) of Islamic banks, it can be concluded that the variables of mudharabah financing, musyarakah financing and murobahah financing significantly influence profitability (ROA). This is evidenced by the results of the t test where the significance value of the variable mudharabah financing (0.023), musyarakah financing (0.037) and murobahah financing (0.008) are more than 0.05. The profit sharing system will facilitate customers and the financing system is quite consumptive so that it can contribute to profit levels, which causes profitability to rise.&quot;,&quot;author&quot;:[{&quot;dropping-particle&quot;:&quot;&quot;,&quot;family&quot;:&quot;Khasanah&quot;,&quot;given&quot;:&quot;Nevi Laila&quot;,&quot;non-dropping-particle&quot;:&quot;&quot;,&quot;parse-names&quot;:false,&quot;suffix&quot;:&quot;&quot;},{&quot;dropping-particle&quot;:&quot;&quot;,&quot;family&quot;:&quot;Mukmin&quot;,&quot;given&quot;:&quot;Taufik&quot;,&quot;non-dropping-particle&quot;:&quot;&quot;,&quot;parse-names&quot;:false,&quot;suffix&quot;:&quot;&quot;}],&quot;container-title&quot;:&quot;EL-Ghiroh&quot;,&quot;id&quot;:&quot;251be734-ca67-53d7-b677-9f5f4620433a&quot;,&quot;issue&quot;:&quot;2&quot;,&quot;issued&quot;:{&quot;date-parts&quot;:[[&quot;2020&quot;]]},&quot;page&quot;:&quot;209-233&quot;,&quot;title&quot;:&quot;Pengaruh Pembiayaan Mudharabah, Musyarakah, dan Murabahah Terhadap Profitabilitas Bank Umum Syariah Periode 2015-2019&quot;,&quot;type&quot;:&quot;article-journal&quot;,&quot;volume&quot;:&quot;18&quot;,&quot;container-title-short&quot;:&quot;&quot;},&quot;uris&quot;:[&quot;http://www.mendeley.com/documents/?uuid=36da4828-94f8-4e04-bca1-9d15a0be41a8&quot;],&quot;isTemporary&quot;:false,&quot;legacyDesktopId&quot;:&quot;36da4828-94f8-4e04-bca1-9d15a0be41a8&quot;}]},{&quot;citationID&quot;:&quot;MENDELEY_CITATION_8306f1c0-a805-43bf-bb37-528f4754a5df&quot;,&quot;properties&quot;:{&quot;noteIndex&quot;:0},&quot;isEdited&quot;:false,&quot;manualOverride&quot;:{&quot;citeprocText&quot;:&quot;(Rokhmah &amp;#38; Komariah, 2017)&quot;,&quot;isManuallyOverridden&quot;:true,&quot;manualOverrideText&quot;:&quot;Rokhmah &amp; Komariah, 2017&quot;},&quot;citationTag&quot;:&quot;MENDELEY_CITATION_v3_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&quot;,&quot;citationItems&quot;:[{&quot;id&quot;:&quot;2bc40270-8319-5ace-9580-07fcf6b9f2e7&quot;,&quot;itemData&quot;:{&quot;abstract&quot;:&quot;Penelitian ini bertujuan untuk mengetahui seberapa besar pengaruh pembiayaan mudharabah dan pembiayaan musyarakah terhadap profitabilitas dengan menggunakan rasio Return On Assets (ROA). Jenis penelitian yang digunakan penelitian adalah deskriptif kuantitatif. Sampel yang digunakan adalah 4 Bank Syariah selama 5 tahun periode dan 20 data laporan keuangan. Sampel diambil dengan menggunakan teknik purposive sampling. Metode yang digunakan untuk pengumpulan data menggunakan data sekunder eksternal dan studi pustaka berupa laporan keuangan tahunan. Analisis yang digunakan menggunakan regresi linear berganda. Hasil penelitian menunjukkan bahwa pembiayaan mudharabah dan musyarakah secara simultan berpengaruh signifikan terhadap profitabilitas. Hasil pengujian secara parsial menunjukkan bahwa pembiayaan mudharabah berpengaruh signifikan terhadap profitabilitas sedangkan pembiayaan musyarakah tidak berpengaruh signifikan terhadap profitabilitas.&quot;,&quot;author&quot;:[{&quot;dropping-particle&quot;:&quot;&quot;,&quot;family&quot;:&quot;Rokhmah&quot;,&quot;given&quot;:&quot;Laila&quot;,&quot;non-dropping-particle&quot;:&quot;&quot;,&quot;parse-names&quot;:false,&quot;suffix&quot;:&quot;&quot;},{&quot;dropping-particle&quot;:&quot;&quot;,&quot;family&quot;:&quot;Komariah&quot;,&quot;given&quot;:&quot;Euis&quot;,&quot;non-dropping-particle&quot;:&quot;&quot;,&quot;parse-names&quot;:false,&quot;suffix&quot;:&quot;&quot;}],&quot;container-title&quot;:&quot;Kajian Ilmiah Akuntansi Fakultas UNTAN (KIAFE)&quot;,&quot;id&quot;:&quot;2bc40270-8319-5ace-9580-07fcf6b9f2e7&quot;,&quot;issue&quot;:&quot;6&quot;,&quot;issued&quot;:{&quot;date-parts&quot;:[[&quot;2017&quot;]]},&quot;page&quot;:&quot;4&quot;,&quot;title&quot;:&quot;Pengaruh Pembiayaan Bagi Hasil Mudharabah dan Musyarakah Terhadap Profitabilitas Pada Bank Umum Syariah di Indonesia.&quot;,&quot;type&quot;:&quot;article-journal&quot;,&quot;volume&quot;:&quot;3&quot;,&quot;container-title-short&quot;:&quot;&quot;},&quot;uris&quot;:[&quot;http://www.mendeley.com/documents/?uuid=056239ab-e516-47c8-950b-cefcf5f92865&quot;],&quot;isTemporary&quot;:false,&quot;legacyDesktopId&quot;:&quot;056239ab-e516-47c8-950b-cefcf5f92865&quot;}]},{&quot;citationID&quot;:&quot;MENDELEY_CITATION_330af432-1ae3-4ea4-be92-b0dc1b77b224&quot;,&quot;properties&quot;:{&quot;noteIndex&quot;:0},&quot;isEdited&quot;:false,&quot;manualOverride&quot;:{&quot;citeprocText&quot;:&quot;(Istiowati &amp;#38; Muslichah, 2021)&quot;,&quot;isManuallyOverridden&quot;:true,&quot;manualOverrideText&quot;:&quot;Istiowati &amp; Muslichah, 2021)&quot;},&quot;citationTag&quot;:&quot;MENDELEY_CITATION_v3_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&quot;,&quot;citationItems&quot;:[{&quot;id&quot;:&quot;0ca427c2-8e0e-5163-bd18-e92e51c48a81&quot;,&quot;itemData&quot;:{&quot;abstract&quot;:&quot;The purpose of this study is to examine the effect of mudharabah, musharakah and murabahah financing on profitability. The population of this research is Islamic Banks in Indonesia that registered for five consecutive years (2015–2019). The sample of this …&quot;,&quot;author&quot;:[{&quot;dropping-particle&quot;:&quot;&quot;,&quot;family&quot;:&quot;Istiowati&quot;,&quot;given&quot;:&quot;Sri Indah&quot;,&quot;non-dropping-particle&quot;:&quot;&quot;,&quot;parse-names&quot;:false,&quot;suffix&quot;:&quot;&quot;},{&quot;dropping-particle&quot;:&quot;&quot;,&quot;family&quot;:&quot;Muslichah&quot;,&quot;given&quot;:&quot;&quot;,&quot;non-dropping-particle&quot;:&quot;&quot;,&quot;parse-names&quot;:false,&quot;suffix&quot;:&quot;&quot;}],&quot;container-title&quot;:&quot;AFRE (Accounting and Financial Review)&quot;,&quot;id&quot;:&quot;0ca427c2-8e0e-5163-bd18-e92e51c48a81&quot;,&quot;issue&quot;:&quot;1&quot;,&quot;issued&quot;:{&quot;date-parts&quot;:[[&quot;2021&quot;]]},&quot;page&quot;:&quot;29-37&quot;,&quot;title&quot;:&quot;Pembiayaan Mudharabah , Musyarakah , Murabahah dan Tingkat Profitabilitas Bank Syariah di Indonesia&quot;,&quot;type&quot;:&quot;article-journal&quot;,&quot;volume&quot;:&quot;4&quot;,&quot;container-title-short&quot;:&quot;&quot;},&quot;uris&quot;:[&quot;http://www.mendeley.com/documents/?uuid=76023dd8-6f95-4b3e-8295-77f1e2cd6d56&quot;],&quot;isTemporary&quot;:false,&quot;legacyDesktopId&quot;:&quot;76023dd8-6f95-4b3e-8295-77f1e2cd6d56&quot;}]},{&quot;citationID&quot;:&quot;MENDELEY_CITATION_cb32ea5b-5780-4363-94c9-8486805a09cc&quot;,&quot;properties&quot;:{&quot;noteIndex&quot;:0},&quot;isEdited&quot;:false,&quot;manualOverride&quot;:{&quot;citeprocText&quot;:&quot;(Almunawwaroh, 2017)&quot;,&quot;isManuallyOverridden&quot;:false,&quot;manualOverrideText&quot;:&quot;&quot;},&quot;citationTag&quot;:&quot;MENDELEY_CITATION_v3_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&quot;,&quot;citationItems&quot;:[{&quot;id&quot;:&quot;1b91575e-822b-5de4-a978-76fe23452ee6&quot;,&quot;itemData&quot;:{&quot;author&quot;:[{&quot;dropping-particle&quot;:&quot;&quot;,&quot;family&quot;:&quot;Almunawwaroh&quot;,&quot;given&quot;:&quot;Medina&quot;,&quot;non-dropping-particle&quot;:&quot;&quot;,&quot;parse-names&quot;:false,&quot;suffix&quot;:&quot;&quot;}],&quot;id&quot;:&quot;1b91575e-822b-5de4-a978-76fe23452ee6&quot;,&quot;issued&quot;:{&quot;date-parts&quot;:[[&quot;2017&quot;]]},&quot;title&quot;:&quot;Analisis pengaruh pembiayaan musyarakah terhadap profitabilitas bank syariah di indonesia&quot;,&quot;type&quot;:&quot;article-journal&quot;,&quot;container-title-short&quot;:&quot;&quot;},&quot;uris&quot;:[&quot;http://www.mendeley.com/documents/?uuid=25707e8b-db4b-4afa-9cba-0738cda1af4c&quot;],&quot;isTemporary&quot;:false,&quot;legacyDesktopId&quot;:&quot;25707e8b-db4b-4afa-9cba-0738cda1af4c&quot;}]},{&quot;citationID&quot;:&quot;MENDELEY_CITATION_45607ba8-8631-4cc9-9b5f-0b0eb6815627&quot;,&quot;properties&quot;:{&quot;noteIndex&quot;:0},&quot;isEdited&quot;:false,&quot;manualOverride&quot;:{&quot;isManuallyOverridden&quot;:false,&quot;citeprocText&quot;:&quot;(Supriyadi, 2016)&quot;,&quot;manualOverrideText&quot;:&quot;&quot;},&quot;citationTag&quot;:&quot;MENDELEY_CITATION_v3_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&quot;,&quot;citationItems&quot;:[{&quot;id&quot;:&quot;c6def9d1-913e-3a68-bfd2-c0236804c241&quot;,&quot;itemData&quot;:{&quot;type&quot;:&quot;report&quot;,&quot;id&quot;:&quot;c6def9d1-913e-3a68-bfd2-c0236804c241&quot;,&quot;title&quot;:&quot;THE PROSPECT OF MUSYARAKAH FINANCE IN ISLAMIC BANK FOR FACING ASEAN ECONOMIC COMMUNITY (AEC)&quot;,&quot;author&quot;:[{&quot;family&quot;:&quot;Supriyadi&quot;,&quot;given&quot;:&quot;Ahmad&quot;,&quot;parse-names&quot;:false,&quot;dropping-particle&quot;:&quot;&quot;,&quot;non-dropping-particle&quot;:&quot;&quot;}],&quot;container-title&quot;:&quot;ADDIN&quot;,&quot;issued&quot;:{&quot;date-parts&quot;:[[2016]]},&quot;abstract&quot;:&quot;In the era of Dutch colonial, the majority of entrepreneurs in Central Java and Yogyakarta come from the students. But after Indonesian independence, the students did not show up in the business world because of political policy. Nowadays the entrepreneur students bounced back ZLWKK,VODPLFFEDQNVVWKDWWRQHHRI ILWVVSURGXFWVVLVVDD0XVKDUDNDKKÀQDQFHHH 0XVKDUDNDKKÀQDQFHHGHDOOZLWKKWKHHELUWKKRI IWKHHIUHHHPDUNHWWWQDPHO\\\\WKHH ASEAN Economic Community so that the question arises how the SURVSHFWW0XVKDUDNDKKÀQDQFHHHLQQ,QGRQHVLDQQ,VODPLFFEDQNVVRI IIDFLQJJWKHH ASEAN Economic Community (AEC). This paper aims to describe WKHHSURVSHFWWRI I0XVKDUDNDKKÀQDQFHHWRRIDFHH$(&amp;&amp;&amp;7KHHUHVXOWVVVKRZHGG WKDWWWKHH0XVKDUDNDKKÀQDQFHHKDVVDDORWWRI ISURVSHFWVVVXFKKDVVÀQDQFLQJJ products that can be performed well and have a competitive value because it has a solid legal basis. From the network side, Islamic banks have EHHQQVXSSRUWHGGE\\\\DDQHWZRUNNRIÀFHVVWKDWWPXFKKEHWWHUDWWKRPHHDQGGDEURDGG with excellent quality customer service. In addition, the presence Bank Indonesia blueprint of the Islamic banking institution can strengthen the&quot;,&quot;issue&quot;:&quot;2&quot;,&quot;volume&quot;:&quot;10&quot;,&quot;container-title-short&quot;:&quot;&quot;},&quot;isTemporary&quot;:false}]},{&quot;citationID&quot;:&quot;MENDELEY_CITATION_1d649565-b0ca-49fe-8561-c7e69ff6238e&quot;,&quot;properties&quot;:{&quot;noteIndex&quot;:0},&quot;isEdited&quot;:false,&quot;manualOverride&quot;:{&quot;citeprocText&quot;:&quot;(Nurdiansyah, 2020)&quot;,&quot;isManuallyOverridden&quot;:true,&quot;manualOverrideText&quot;:&quot;(Nurdiansyah, 2020;&quot;},&quot;citationTag&quot;:&quot;MENDELEY_CITATION_v3_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&quot;,&quot;citationItems&quot;:[{&quot;id&quot;:&quot;d8dc3d8b-ed0e-5421-b4ab-927417c93b6f&quot;,&quot;itemData&quot;:{&quot;author&quot;:[{&quot;dropping-particle&quot;:&quot;&quot;,&quot;family&quot;:&quot;Nurdiansyah&quot;,&quot;given&quot;:&quot;Dian Hakip&quot;,&quot;non-dropping-particle&quot;:&quot;&quot;,&quot;parse-names&quot;:false,&quot;suffix&quot;:&quot;&quot;}],&quot;id&quot;:&quot;d8dc3d8b-ed0e-5421-b4ab-927417c93b6f&quot;,&quot;issued&quot;:{&quot;date-parts&quot;:[[&quot;2020&quot;]]},&quot;page&quot;:&quot;1-10&quot;,&quot;title&quot;:&quot;THE INFLUENCE OF THIRD PARTY FUNDS AND PROFIT SHARING RATE ON PROFIT SHARING&quot;,&quot;type&quot;:&quot;article-journal&quot;,&quot;container-title-short&quot;:&quot;&quot;},&quot;uris&quot;:[&quot;http://www.mendeley.com/documents/?uuid=645de803-1c71-459c-be6e-bc5a9db0e910&quot;],&quot;isTemporary&quot;:false,&quot;legacyDesktopId&quot;:&quot;645de803-1c71-459c-be6e-bc5a9db0e910&quot;}]},{&quot;citationID&quot;:&quot;MENDELEY_CITATION_f0076a51-41fb-4551-97a4-5b27f8d25131&quot;,&quot;properties&quot;:{&quot;noteIndex&quot;:0},&quot;isEdited&quot;:false,&quot;manualOverride&quot;:{&quot;citeprocText&quot;:&quot;(Rachmadita et al., 2013)&quot;,&quot;isManuallyOverridden&quot;:true,&quot;manualOverrideText&quot;:&quot;Rachmadita et al., 2013;&quot;},&quot;citationTag&quot;:&quot;MENDELEY_CITATION_v3_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&quot;,&quot;citationItems&quot;:[{&quot;id&quot;:&quot;5cdab04e-b000-59b4-89cb-94086e967372&quot;,&quot;itemData&quot;:{&quot;abstract&quot;:&quot;The importance in Islamic banking is a healthy process of financing. Financing is the main indicator to measure the growth of Islamic banking. Financing is funding spent to support the planned investment, either self-operated or managed by a third party. In determining the …&quot;,&quot;author&quot;:[{&quot;dropping-particle&quot;:&quot;&quot;,&quot;family&quot;:&quot;Rachmadita&quot;,&quot;given&quot;:&quot;D&quot;,&quot;non-dropping-particle&quot;:&quot;&quot;,&quot;parse-names&quot;:false,&quot;suffix&quot;:&quot;&quot;},{&quot;dropping-particle&quot;:&quot;&quot;,&quot;family&quot;:&quot;Nindito&quot;,&quot;given&quot;:&quot;M&quot;,&quot;non-dropping-particle&quot;:&quot;&quot;,&quot;parse-names&quot;:false,&quot;suffix&quot;:&quot;&quot;},{&quot;dropping-particle&quot;:&quot;&quot;,&quot;family&quot;:&quot;...&quot;,&quot;given&quot;:&quot;&quot;,&quot;non-dropping-particle&quot;:&quot;&quot;,&quot;parse-names&quot;:false,&quot;suffix&quot;:&quot;&quot;}],&quot;container-title&quot;:&quot;… Conference on Business …&quot;,&quot;id&quot;:&quot;5cdab04e-b000-59b4-89cb-94086e967372&quot;,&quot;issue&quot;:&quot;October 2010&quot;,&quot;issued&quot;:{&quot;date-parts&quot;:[[&quot;2013&quot;]]},&quot;title&quot;:&quot;The Influence of Savings, Equity, Non Performing Financing and Profit Sharing on The Financing of Islamic Banks in Indonesia&quot;,&quot;type&quot;:&quot;article-journal&quot;,&quot;volume&quot;:&quot;2010&quot;,&quot;container-title-short&quot;:&quot;&quot;},&quot;uris&quot;:[&quot;http://www.mendeley.com/documents/?uuid=f96fae07-0599-4c11-b182-38fd416c6c8c&quot;],&quot;isTemporary&quot;:false,&quot;legacyDesktopId&quot;:&quot;f96fae07-0599-4c11-b182-38fd416c6c8c&quot;}]},{&quot;citationID&quot;:&quot;MENDELEY_CITATION_4c7ac51c-d33c-41a4-b96c-113d4c78ac58&quot;,&quot;properties&quot;:{&quot;noteIndex&quot;:0},&quot;isEdited&quot;:false,&quot;manualOverride&quot;:{&quot;citeprocText&quot;:&quot;(Gunanto et al., 2018)&quot;,&quot;isManuallyOverridden&quot;:true,&quot;manualOverrideText&quot;:&quot;Gunanto et al., 2018)&quot;},&quot;citationTag&quot;:&quot;MENDELEY_CITATION_v3_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&quot;,&quot;citationItems&quot;:[{&quot;id&quot;:&quot;7bd1cebe-17e5-57ea-9f43-f5793623a319&quot;,&quot;itemData&quot;:{&quot;DOI&quot;:&quot;10.29040/jie.v2i02.316&quot;,&quot;ISSN&quot;:&quot;2598-1153&quot;,&quot;abstract&quot;:&quot;This study aims to determine the effect of Financing To Deposit Ratio (FDR), Third Party Funds (TPF) and Return on Assets (ROA) on musyarakah financing on Bank Syariah Mandiri from 2010-2017 both partially and simultaneously. This study uses quantitative data types. The data used uses secondary data obtained from quarterly financial reports. The method used in this study is to use the classic assumption test method where the Classic Assumption test consists of four tests namely Normality test, Multicollinearity test, Heterocedasticity test and Autocorrelation test in addition to using the Classical Assumption test, in this study also uses the test with data analysis from the analysis Multiple linear regression and using t test or partial test and F test or test simultaneously or together. The population in this study is Islamic banking, namely Bank Syariah Mandiri in 2010-2017 as many as 32 taken by purposive sampling. The results showed that the variables that affect Musyarakah financing are variables Financing To Deposit Ratio (FDR) with a P-value of 0,000 where this value is greater than 0.05 and the value of t count is -4.916 where this value is greater than the value of t table namely 2,0484 and Third Party Funds with a P-value of 0,000 where this value is greater than 0.05 and the value of t count is 4,559 is greater than the ttable value of 2,0484 while the variable that has no effect on musyarakah financing is the Return on Asset variable (ROA) with a P-value of 0.428 where this value is greater than 0.05 and tcount is smaller than t table where the value of t count is 0.805 and the value of t table is 2.0484. Simultaneously all variables namely FDR, DPK and ROA jointly influence Musyarakah financing on Bank Syariah Mandiri (BSM) in 2010-2017 with a significance value of 0,000 where the sig value is smaller than 0.05 while the Fcount value is greater than Ftable value where Fcount value is 25,160 while Ftable value is 2,95.\r \r Keywords: Financing To Deposit Ratio (FDR), Third Party Funds (DPK),\r Return on Assets (ROA), musyarakah&quot;,&quot;author&quot;:[{&quot;dropping-particle&quot;:&quot;&quot;,&quot;family&quot;:&quot;Gunanto&quot;,&quot;given&quot;:&quot;Djoko Sigit&quot;,&quot;non-dropping-particle&quot;:&quot;&quot;,&quot;parse-names&quot;:false,&quot;suffix&quot;:&quot;&quot;},{&quot;dropping-particle&quot;:&quot;&quot;,&quot;family&quot;:&quot;Suprihati&quot;,&quot;given&quot;:&quot;Suprihati&quot;,&quot;non-dropping-particle&quot;:&quot;&quot;,&quot;parse-names&quot;:false,&quot;suffix&quot;:&quot;&quot;},{&quot;dropping-particle&quot;:&quot;&quot;,&quot;family&quot;:&quot;Aristi&quot;,&quot;given&quot;:&quot;Firma Windi&quot;,&quot;non-dropping-particle&quot;:&quot;&quot;,&quot;parse-names&quot;:false,&quot;suffix&quot;:&quot;&quot;}],&quot;container-title&quot;:&quot;Jurnal Ilmiah Edunomika&quot;,&quot;id&quot;:&quot;7bd1cebe-17e5-57ea-9f43-f5793623a319&quot;,&quot;issue&quot;:&quot;02&quot;,&quot;issued&quot;:{&quot;date-parts&quot;:[[&quot;2018&quot;]]},&quot;page&quot;:&quot;598-608&quot;,&quot;title&quot;:&quot;Pengaruh Financing To Deposit Ratio (Fdr), Dana Pihak Ketiga (Dpk) Dan Return on Asset (Roa) Terhadap Pembiayaan Musyarakah&quot;,&quot;type&quot;:&quot;article-journal&quot;,&quot;volume&quot;:&quot;2&quot;,&quot;container-title-short&quot;:&quot;&quot;},&quot;uris&quot;:[&quot;http://www.mendeley.com/documents/?uuid=c8fb7d84-577b-42f4-a961-90fa4d46715c&quot;],&quot;isTemporary&quot;:false,&quot;legacyDesktopId&quot;:&quot;c8fb7d84-577b-42f4-a961-90fa4d46715c&quot;}]},{&quot;citationID&quot;:&quot;MENDELEY_CITATION_a711aa6b-b28d-4bea-8d9d-54f9d5a1c67e&quot;,&quot;properties&quot;:{&quot;noteIndex&quot;:0},&quot;isEdited&quot;:false,&quot;manualOverride&quot;:{&quot;citeprocText&quot;:&quot;(Hidayat &amp;#38; Sunarsi, 2020)&quot;,&quot;isManuallyOverridden&quot;:true,&quot;manualOverrideText&quot;:&quot;(Hidayat &amp; Sunarsi, 2020;&quot;},&quot;citationTag&quot;:&quot;MENDELEY_CITATION_v3_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&quot;,&quot;citationItems&quot;:[{&quot;id&quot;:&quot;6bd8c104-a664-5021-be32-16d9e1460fe9&quot;,&quot;itemData&quot;:{&quot;abstract&quot;:&quot;Penelitian ini bertujuan untuk meneliti faktor-faktor yang mempengaruhi dana pihak ketiga dan dampaknya terhadap Profitabilitas (ROA) survey pada BPR Syariah di Jawa Barat tahun 2014 – 2017. Pengumpulan data dilakukan dengan pengambilan data sekunder berupa laporan keuangan tahunan 14 BPR Syariah yang berada di Jawa Barat periode 2014 – 2017 dimana laporan keuangan dibuat data panel dan diolah dengan software Eviews 10. Metode analisis yang digunakan adalah analisis deksriptif. Analisis data meliputi uji asumsi klasik, analisis regresi, serta pengujian hipotesis secara parsial dan simultan. Hasil penelitian ini menunjukan bahwa (1) Financing to Deposit Ratio terhadap Dana Pihak Ketiga tidak berpengaruh signifikan, (2) Capital Adequacy Ratio terhadap Dana Pihak Ketiga tidak berpengaruh signifikan, (3) Non Performing Financing terhadap Dana Pihak Ketiga tidak berpengaruh signifikan, (4) BOPO terhadap Dana Pihak Ketiga berpengaruh signifikan, (5) Financing to Deposit Ratio, Capital Adequacy Ratio, Non Performing Financing dan BOPO secara simultan berpengaruh terhadap Dana Pihak Ketiga dengan tingkat signifikansi Prob. F (Statistic) 0.014997, dan (6) Dana Pihak Ketiga terhadap Profitabilitas(ROA) berpengaruh signifikan. Kata&quot;,&quot;author&quot;:[{&quot;dropping-particle&quot;:&quot;&quot;,&quot;family&quot;:&quot;Hidayat&quot;,&quot;given&quot;:&quot;Arif&quot;,&quot;non-dropping-particle&quot;:&quot;&quot;,&quot;parse-names&quot;:false,&quot;suffix&quot;:&quot;&quot;},{&quot;dropping-particle&quot;:&quot;&quot;,&quot;family&quot;:&quot;Sunarsi&quot;,&quot;given&quot;:&quot;Denok&quot;,&quot;non-dropping-particle&quot;:&quot;&quot;,&quot;parse-names&quot;:false,&quot;suffix&quot;:&quot;&quot;}],&quot;container-title&quot;:&quot;Jurnal Proaksi&quot;,&quot;id&quot;:&quot;6bd8c104-a664-5021-be32-16d9e1460fe9&quot;,&quot;issued&quot;:{&quot;date-parts&quot;:[[&quot;2020&quot;]]},&quot;page&quot;:&quot;1-12&quot;,&quot;title&quot;:&quot;Faktor-Faktor Yang Mempengaruhi Dana Pihak Ketiga Dan Dampaknya Terhadap Profitabilitas&quot;,&quot;type&quot;:&quot;article-journal&quot;,&quot;volume&quot;:&quot;1&quot;,&quot;container-title-short&quot;:&quot;&quot;},&quot;uris&quot;:[&quot;http://www.mendeley.com/documents/?uuid=f077ef89-501b-4cc5-9699-ac12ce4a68c9&quot;],&quot;isTemporary&quot;:false,&quot;legacyDesktopId&quot;:&quot;f077ef89-501b-4cc5-9699-ac12ce4a68c9&quot;}]},{&quot;citationID&quot;:&quot;MENDELEY_CITATION_2ad11201-76c6-4483-883a-f53cc069b28f&quot;,&quot;properties&quot;:{&quot;noteIndex&quot;:0},&quot;isEdited&quot;:false,&quot;manualOverride&quot;:{&quot;citeprocText&quot;:&quot;(Syachfuddin &amp;#38; Rosyidi, 2017)&quot;,&quot;isManuallyOverridden&quot;:true,&quot;manualOverrideText&quot;:&quot;Syachfuddin &amp; Rosyidi, 2017)&quot;},&quot;citationTag&quot;:&quot;MENDELEY_CITATION_v3_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&quot;,&quot;citationItems&quot;:[{&quot;id&quot;:&quot;61044bd9-013d-5514-b52c-60bf02642c09&quot;,&quot;itemData&quot;:{&quot;DOI&quot;:&quot;10.20473/vol4iss201712pp977-993&quot;,&quot;ISSN&quot;:&quot;2407-1935&quot;,&quot;abstract&quot;:&quot;This study aims to determine the effect of macroeconomics factor, third party funds and market share to profitability sharia banks industry period 2011 until 2015. The research method used is a quantitative approach. The dependent variable in this study is profitability (ROA), as well as the independent variable in this study is macroeconomics factor (inflation and gross domestic product), third party funds and market share. Sampling method in this research used a saturated sampling. The analysis technique used is multiple linier regression.Research result shows that the confidence level is 95%, macroeconomics factor (inflation and gross domestic product) and third party funds have a negative correlation to profitability (ROA). Simultaneously variables in this study a significant effect on the magnitude of the amount of profitability (ROA) sharia banks industry with 84.4% value of coefficient determination. The partially, third party funds and market share had significant effect toprofitability (ROA) sharia banks industry.&quot;,&quot;author&quot;:[{&quot;dropping-particle&quot;:&quot;&quot;,&quot;family&quot;:&quot;Syachfuddin&quot;,&quot;given&quot;:&quot;Laras Andasari&quot;,&quot;non-dropping-particle&quot;:&quot;&quot;,&quot;parse-names&quot;:false,&quot;suffix&quot;:&quot;&quot;},{&quot;dropping-particle&quot;:&quot;&quot;,&quot;family&quot;:&quot;Rosyidi&quot;,&quot;given&quot;:&quot;Suherman&quot;,&quot;non-dropping-particle&quot;:&quot;&quot;,&quot;parse-names&quot;:false,&quot;suffix&quot;:&quot;&quot;}],&quot;container-title&quot;:&quot;Jurnal Ekonomi Syariah Teori dan Terapan&quot;,&quot;id&quot;:&quot;61044bd9-013d-5514-b52c-60bf02642c09&quot;,&quot;issue&quot;:&quot;12&quot;,&quot;issued&quot;:{&quot;date-parts&quot;:[[&quot;2017&quot;]]},&quot;page&quot;:&quot;977&quot;,&quot;title&quot;:&quot;Pengaruh Faktor Makro Ekonomi, Dana Pihak Ketiga dan Pangsa Pembiayaan Terhadap Profitabilitas Industri Perbankan Syariah di Indonesia Tahun 2011-2015&quot;,&quot;type&quot;:&quot;article-journal&quot;,&quot;volume&quot;:&quot;4&quot;,&quot;container-title-short&quot;:&quot;&quot;},&quot;uris&quot;:[&quot;http://www.mendeley.com/documents/?uuid=0bd1818a-b1fe-437c-a7cb-b28d18e4ae31&quot;],&quot;isTemporary&quot;:false,&quot;legacyDesktopId&quot;:&quot;0bd1818a-b1fe-437c-a7cb-b28d18e4ae31&quot;}]},{&quot;citationID&quot;:&quot;MENDELEY_CITATION_00566f1e-6d56-4b45-8563-e12eb6015719&quot;,&quot;properties&quot;:{&quot;noteIndex&quot;:0},&quot;isEdited&quot;:false,&quot;manualOverride&quot;:{&quot;citeprocText&quot;:&quot;(Ovami et al., 2018)&quot;,&quot;isManuallyOverridden&quot;:true,&quot;manualOverrideText&quot;:&quot;(Ovami et al., 2018;&quot;},&quot;citationTag&quot;:&quot;MENDELEY_CITATION_v3_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&quot;,&quot;citationItems&quot;:[{&quot;id&quot;:&quot;60022b03-a267-52a4-a092-f917123b7fa9&quot;,&quot;itemData&quot;:{&quot;author&quot;:[{&quot;dropping-particle&quot;:&quot;&quot;,&quot;family&quot;:&quot;Ovami&quot;,&quot;given&quot;:&quot;Debbi Chyntia&quot;,&quot;non-dropping-particle&quot;:&quot;&quot;,&quot;parse-names&quot;:false,&quot;suffix&quot;:&quot;&quot;},{&quot;dropping-particle&quot;:&quot;&quot;,&quot;family&quot;:&quot;Thohari&quot;,&quot;given&quot;:&quot;Ayu Azillah&quot;,&quot;non-dropping-particle&quot;:&quot;&quot;,&quot;parse-names&quot;:false,&quot;suffix&quot;:&quot;&quot;},{&quot;dropping-particle&quot;:&quot;&quot;,&quot;family&quot;:&quot;Al-wasliyah&quot;,&quot;given&quot;:&quot;Universitas Muslim Nusantara&quot;,&quot;non-dropping-particle&quot;:&quot;&quot;,&quot;parse-names&quot;:false,&quot;suffix&quot;:&quot;&quot;},{&quot;dropping-particle&quot;:&quot;&quot;,&quot;family&quot;:&quot;Akuntansi&quot;,&quot;given&quot;:&quot;Program Studi&quot;,&quot;non-dropping-particle&quot;:&quot;&quot;,&quot;parse-names&quot;:false,&quot;suffix&quot;:&quot;&quot;}],&quot;id&quot;:&quot;60022b03-a267-52a4-a092-f917123b7fa9&quot;,&quot;issue&quot;:&quot;1&quot;,&quot;issued&quot;:{&quot;date-parts&quot;:[[&quot;2018&quot;]]},&quot;title&quot;:&quot;Pengaruh dana pihak ketiga dan non performing financing terhadap pembiayaan musyarakah&quot;,&quot;type&quot;:&quot;article-journal&quot;,&quot;volume&quot;:&quot;3&quot;,&quot;container-title-short&quot;:&quot;&quot;},&quot;uris&quot;:[&quot;http://www.mendeley.com/documents/?uuid=ed6866fb-d799-4f56-986f-babf71364f60&quot;],&quot;isTemporary&quot;:false,&quot;legacyDesktopId&quot;:&quot;ed6866fb-d799-4f56-986f-babf71364f60&quot;}]},{&quot;citationID&quot;:&quot;MENDELEY_CITATION_3d926705-d08c-44bc-8551-f9892e45463b&quot;,&quot;properties&quot;:{&quot;noteIndex&quot;:0},&quot;isEdited&quot;:false,&quot;manualOverride&quot;:{&quot;citeprocText&quot;:&quot;(Azwari &amp;#38; Jayanti, 2022b)&quot;,&quot;isManuallyOverridden&quot;:true,&quot;manualOverrideText&quot;:&quot;Azwari &amp; Jayanti, 2022)&quot;},&quot;citationTag&quot;:&quot;MENDELEY_CITATION_v3_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&quot;,&quot;citationItems&quot;:[{&quot;id&quot;:&quot;bd49ab63-4606-54fd-b489-86a3e55a3189&quot;,&quot;itemData&quot;:{&quot;author&quot;:[{&quot;dropping-particle&quot;:&quot;&quot;,&quot;family&quot;:&quot;Azwari&quot;,&quot;given&quot;:&quot;Peny Cahaya&quot;,&quot;non-dropping-particle&quot;:&quot;&quot;,&quot;parse-names&quot;:false,&quot;suffix&quot;:&quot;&quot;},{&quot;dropping-particle&quot;:&quot;&quot;,&quot;family&quot;:&quot;Jayanti&quot;,&quot;given&quot;:&quot;Sri Delasmi&quot;,&quot;non-dropping-particle&quot;:&quot;&quot;,&quot;parse-names&quot;:false,&quot;suffix&quot;:&quot;&quot;}],&quot;id&quot;:&quot;bd49ab63-4606-54fd-b489-86a3e55a3189&quot;,&quot;issue&quot;:&quot;1&quot;,&quot;issued&quot;:{&quot;date-parts&quot;:[[&quot;2022&quot;]]},&quot;page&quot;:&quot;63-70&quot;,&quot;title&quot;:&quot;Impact of Third-Party Funds and Capital Adequacy Ratio on Profit Shar- ing Financing&quot;,&quot;type&quot;:&quot;article-journal&quot;,&quot;volume&quot;:&quot;6&quot;,&quot;container-title-short&quot;:&quot;&quot;},&quot;uris&quot;:[&quot;http://www.mendeley.com/documents/?uuid=c31a22f8-c64e-42b8-88f6-c33b1c635be8&quot;],&quot;isTemporary&quot;:false,&quot;legacyDesktopId&quot;:&quot;c31a22f8-c64e-42b8-88f6-c33b1c635be8&quot;}]},{&quot;citationID&quot;:&quot;MENDELEY_CITATION_3c265806-23df-493d-8121-b9cb9dbb1867&quot;,&quot;properties&quot;:{&quot;noteIndex&quot;:0},&quot;isEdited&quot;:false,&quot;manualOverride&quot;:{&quot;citeprocText&quot;:&quot;(Mahmudah &amp;#38; Harjanti, 2016)&quot;,&quot;isManuallyOverridden&quot;:true,&quot;manualOverrideText&quot;:&quot;(Mahmudah &amp; Harjanti, 2016;&quot;},&quot;citationTag&quot;:&quot;MENDELEY_CITATION_v3_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&quot;,&quot;citationItems&quot;:[{&quot;id&quot;:&quot;5ba14840-ec08-5196-89e2-5fb039c68b62&quot;,&quot;itemData&quot;:{&quot;ISBN&quot;:&quot;9786027435506&quot;,&quot;abstract&quot;:&quot;This study aimed to analyze the effect of capital adequacy ratio (CAR), Financing to Deposit Ratio (FDR), Third Party Fund (DPK), and the level of revenue sharing on profitability (ROA) of Islamic commercial bank that operates in Indonesia from 2011-2013. As well as to analyze the effect of Non Performing Financing (NPF) to profitability (ROA) of Islamic banks operating in Indonesia from 2011-2013. The population in this study is an Islamic commercial bank registered in Bank Indonesia within 2011-2013 research. Tests carried out using multiple linear regression. The test results showed that the Capital Adequacy Ratio (CAR) significant positive effect on ROA. FDR (Financing Debt Ratio), Third Party Fund (DPK), and the level of revenue sharing is effect on ROA. As well as non- performing financing (NPF) no effect on ROA.&quot;,&quot;author&quot;:[{&quot;dropping-particle&quot;:&quot;&quot;,&quot;family&quot;:&quot;Mahmudah&quot;,&quot;given&quot;:&quot;Nurul&quot;,&quot;non-dropping-particle&quot;:&quot;&quot;,&quot;parse-names&quot;:false,&quot;suffix&quot;:&quot;&quot;},{&quot;dropping-particle&quot;:&quot;&quot;,&quot;family&quot;:&quot;Harjanti&quot;,&quot;given&quot;:&quot;Ririh Sri&quot;,&quot;non-dropping-particle&quot;:&quot;&quot;,&quot;parse-names&quot;:false,&quot;suffix&quot;:&quot;&quot;}],&quot;container-title&quot;:&quot;Seminar Nasional Iptek Terapan&quot;,&quot;id&quot;:&quot;5ba14840-ec08-5196-89e2-5fb039c68b62&quot;,&quot;issue&quot;:&quot;1&quot;,&quot;issued&quot;:{&quot;date-parts&quot;:[[&quot;2016&quot;]]},&quot;page&quot;:&quot;134-143&quot;,&quot;title&quot;:&quot;Analisis Capital Adequacy Ratio, Financing to Deposit Ratio, Non Performing Financing, dan Dana Pihak Ketiga terhadap Tingkat Profitabilitas Bank Umum Syariah Periode 2011-2013&quot;,&quot;type&quot;:&quot;article-journal&quot;,&quot;volume&quot;:&quot;1&quot;,&quot;container-title-short&quot;:&quot;&quot;},&quot;uris&quot;:[&quot;http://www.mendeley.com/documents/?uuid=30d001f5-0e85-4c6f-b4ff-81e962071ad5&quot;],&quot;isTemporary&quot;:false,&quot;legacyDesktopId&quot;:&quot;30d001f5-0e85-4c6f-b4ff-81e962071ad5&quot;}]},{&quot;citationID&quot;:&quot;MENDELEY_CITATION_4cfddb3a-afb0-4a85-b7de-1e01c68360dc&quot;,&quot;properties&quot;:{&quot;noteIndex&quot;:0},&quot;isEdited&quot;:false,&quot;manualOverride&quot;:{&quot;citeprocText&quot;:&quot;(Gampito, 2008)&quot;,&quot;isManuallyOverridden&quot;:true,&quot;manualOverrideText&quot;:&quot;Gampito, 2008)&quot;},&quot;citationTag&quot;:&quot;MENDELEY_CITATION_v3_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&quot;,&quot;citationItems&quot;:[{&quot;id&quot;:&quot;b554316a-c2b9-559d-9736-09f342d0134b&quot;,&quot;itemData&quot;:{&quot;author&quot;:[{&quot;dropping-particle&quot;:&quot;&quot;,&quot;family&quot;:&quot;Gampito&quot;,&quot;given&quot;:&quot;&quot;,&quot;non-dropping-particle&quot;:&quot;&quot;,&quot;parse-names&quot;:false,&quot;suffix&quot;:&quot;&quot;}],&quot;id&quot;:&quot;b554316a-c2b9-559d-9736-09f342d0134b&quot;,&quot;issued&quot;:{&quot;date-parts&quot;:[[&quot;2008&quot;]]},&quot;title&quot;:&quot;PENGARUH DANA PIHAK KETIGA TERHADAP PENYALURAN DANA PERBANKAN SYARIAH DI SUMATERA BARAT Oleh: Gampito*&quot;,&quot;type&quot;:&quot;article-journal&quot;,&quot;container-title-short&quot;:&quot;&quot;},&quot;uris&quot;:[&quot;http://www.mendeley.com/documents/?uuid=a17cd67f-3fed-4ae5-837c-e308f81ef384&quot;],&quot;isTemporary&quot;:false,&quot;legacyDesktopId&quot;:&quot;a17cd67f-3fed-4ae5-837c-e308f81ef384&quot;}]},{&quot;citationID&quot;:&quot;MENDELEY_CITATION_c15fc8da-3379-45da-a14d-f69f51a477c4&quot;,&quot;properties&quot;:{&quot;noteIndex&quot;:0},&quot;isEdited&quot;:false,&quot;manualOverride&quot;:{&quot;citeprocText&quot;:&quot;(Munir, 2019)&quot;,&quot;isManuallyOverridden&quot;:true,&quot;manualOverrideText&quot;:&quot;(Munir, 2019;&quot;},&quot;citationTag&quot;:&quot;MENDELEY_CITATION_v3_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&quot;,&quot;citationItems&quot;:[{&quot;id&quot;:&quot;320c6598-dead-5d86-aa22-201db4f848bf&quot;,&quot;itemData&quot;:{&quot;ISSN&quot;:&quot;2622-4798&quot;,&quot;abstract&quot;:&quot;Journal.&quot;,&quot;author&quot;:[{&quot;dropping-particle&quot;:&quot;&quot;,&quot;family&quot;:&quot;Munir&quot;,&quot;given&quot;:&quot;Misbahul&quot;,&quot;non-dropping-particle&quot;:&quot;&quot;,&quot;parse-names&quot;:false,&quot;suffix&quot;:&quot;&quot;}],&quot;container-title&quot;:&quot;Ihtifaz: Journal of Islamic Economics, Finance, and Banking&quot;,&quot;id&quot;:&quot;320c6598-dead-5d86-aa22-201db4f848bf&quot;,&quot;issue&quot;:&quot;2&quot;,&quot;issued&quot;:{&quot;date-parts&quot;:[[&quot;2019&quot;]]},&quot;page&quot;:&quot;89-98&quot;,&quot;title&quot;:&quot;Analisis Pengaruh CAR, NPF, FDR dan Inflasi terhadap Profitabilitas Perbankan Syariah Indonesia&quot;,&quot;type&quot;:&quot;article-journal&quot;,&quot;volume&quot;:&quot;1&quot;,&quot;container-title-short&quot;:&quot;&quot;},&quot;uris&quot;:[&quot;http://www.mendeley.com/documents/?uuid=8732f64d-8f53-4379-b194-102f7cbb738c&quot;],&quot;isTemporary&quot;:false,&quot;legacyDesktopId&quot;:&quot;8732f64d-8f53-4379-b194-102f7cbb738c&quot;}]},{&quot;citationID&quot;:&quot;MENDELEY_CITATION_9b7a29ed-9db8-4561-8be0-f5ad20b14566&quot;,&quot;properties&quot;:{&quot;noteIndex&quot;:0},&quot;isEdited&quot;:false,&quot;manualOverride&quot;:{&quot;citeprocText&quot;:&quot;(R. Wulandari &amp;#38; Shofawati, 2017)&quot;,&quot;isManuallyOverridden&quot;:true,&quot;manualOverrideText&quot;:&quot;Wulandari &amp; Shofawati, 2017).&quot;},&quot;citationTag&quot;:&quot;MENDELEY_CITATION_v3_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&quot;,&quot;citationItems&quot;:[{&quot;id&quot;:&quot;505b2e0b-034b-5b5b-8444-bc13a248e547&quot;,&quot;itemData&quot;:{&quot;DOI&quot;:&quot;10.20473/vol4iss20179pp741-756&quot;,&quot;ISSN&quot;:&quot;2407-1935&quot;,&quot;abstract&quot;:&quot;This research aims to analyze the influence of Capital Adequacy Ratio (CAR), Financing to Deposit Ratio (FDR), Non Performing Financing (NPF), and Third Party Fund Growth (DPK growth) to Return On Assets (ROA) of Islamic Rural Bank in Indonesia. All data that uses in this research contained from Sharia Banking Statistic (SPS) Bank Indonesia. This research used the quantitative approach method. The data analysis method used in this research is multiple linear regression analysis. Based on the results of this research showed that simultaneously CAR, FDR, NPF, and DPK growth had significant effect to ROA with significant value 0,000. Partially, CAR had not significant effect to ROA, but FDR, NPF, and DPK growth partially had significant effect to ROA. The ability of CAR, FDR, NPF, and DPK growth in explaining ROA ratio of 58%, and the remaining 42% was explained by other variables outside the model used in this research.&quot;,&quot;author&quot;:[{&quot;dropping-particle&quot;:&quot;&quot;,&quot;family&quot;:&quot;Wulandari&quot;,&quot;given&quot;:&quot;Retno&quot;,&quot;non-dropping-particle&quot;:&quot;&quot;,&quot;parse-names&quot;:false,&quot;suffix&quot;:&quot;&quot;},{&quot;dropping-particle&quot;:&quot;&quot;,&quot;family&quot;:&quot;Shofawati&quot;,&quot;given&quot;:&quot;Atina&quot;,&quot;non-dropping-particle&quot;:&quot;&quot;,&quot;parse-names&quot;:false,&quot;suffix&quot;:&quot;&quot;}],&quot;container-title&quot;:&quot;Jurnal Ekonomi Syariah Teori dan Terapan&quot;,&quot;id&quot;:&quot;505b2e0b-034b-5b5b-8444-bc13a248e547&quot;,&quot;issue&quot;:&quot;9&quot;,&quot;issued&quot;:{&quot;date-parts&quot;:[[&quot;2017&quot;]]},&quot;page&quot;:&quot;741&quot;,&quot;title&quot;:&quot;Analisis Pengaruh CAR, FDR, NPF, dan Pertumbuhan DPK Terhadap Profitabilitas Pada Industri Bank Pembiayaan Rakyat Syariah di Indonesia Tahun 2011-2015&quot;,&quot;type&quot;:&quot;article-journal&quot;,&quot;volume&quot;:&quot;4&quot;,&quot;container-title-short&quot;:&quot;&quot;},&quot;uris&quot;:[&quot;http://www.mendeley.com/documents/?uuid=43c58c10-9eef-46b5-a946-5e0fabe69bf2&quot;],&quot;isTemporary&quot;:false,&quot;legacyDesktopId&quot;:&quot;43c58c10-9eef-46b5-a946-5e0fabe69bf2&quot;}]},{&quot;citationID&quot;:&quot;MENDELEY_CITATION_a7c33aa4-ee40-47e3-9292-3b1a88007e26&quot;,&quot;properties&quot;:{&quot;noteIndex&quot;:0},&quot;isEdited&quot;:false,&quot;manualOverride&quot;:{&quot;citeprocText&quot;:&quot;(Yulianto, 2014)&quot;,&quot;isManuallyOverridden&quot;:true,&quot;manualOverrideText&quot;:&quot;(Yulianto, 2014;&quot;},&quot;citationTag&quot;:&quot;MENDELEY_CITATION_v3_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&quot;,&quot;citationItems&quot;:[{&quot;id&quot;:&quot;87798afa-7156-5ef7-9606-4e3b0af83b81&quot;,&quot;itemData&quot;:{&quot;DOI&quot;:&quot;10.15294/aaj.v3i4.4208&quot;,&quot;ISSN&quot;:&quot;2252-6765&quot;,&quot;abstract&quot;:&quot;This paper examines how trade and profit-loss sharing (PLS) financing as well as non performing financing (NPF) affect theprofitability ofIslamic banking in Indonesia. The profitability is measured by return on assets. The sample selection method is purposive sampling and obtained four Islamic banks are being sampled, that is Bank Syariah Mega Indonesia, Bank Syariah Mandiri, Bank Muamalat Indonesia, and BRI Syariah in 11 periods of observation.Multiple regression is used toanalyzethe data. The resultshows thattrade financingand NPF have positivelly affect,while profit-loss sharing financing has negativelly affect on theprofitability ofIslamic banks&quot;,&quot;author&quot;:[{&quot;dropping-particle&quot;:&quot;&quot;,&quot;family&quot;:&quot;Yulianto&quot;,&quot;given&quot;:&quot;Slamet Riyadi  Agung&quot;,&quot;non-dropping-particle&quot;:&quot;&quot;,&quot;parse-names&quot;:false,&quot;suffix&quot;:&quot;&quot;}],&quot;container-title&quot;:&quot;Accounting Analysis Journal&quot;,&quot;id&quot;:&quot;87798afa-7156-5ef7-9606-4e3b0af83b81&quot;,&quot;issue&quot;:&quot;4&quot;,&quot;issued&quot;:{&quot;date-parts&quot;:[[&quot;2014&quot;]]},&quot;page&quot;:&quot;466-474&quot;,&quot;title&quot;:&quot;PENGARUH PEMBIAYAAN BAGI HASIL, PEMBIAYAAN JUAL BELI, FINANCING TO DEPOSIT RATIO (FDR) DAN NON PERFORMING FINANCING (NPF) TERHADAP PROFITABILITAS BANK UMUM SYARIAH DI INDONESIA&quot;,&quot;type&quot;:&quot;article-journal&quot;,&quot;volume&quot;:&quot;3&quot;,&quot;container-title-short&quot;:&quot;&quot;},&quot;uris&quot;:[&quot;http://www.mendeley.com/documents/?uuid=9a84e1a9-f176-4f43-ae60-0144389fba04&quot;],&quot;isTemporary&quot;:false,&quot;legacyDesktopId&quot;:&quot;9a84e1a9-f176-4f43-ae60-0144389fba04&quot;}]},{&quot;citationID&quot;:&quot;MENDELEY_CITATION_cb847748-e234-43e1-9f8c-7c9042da02f7&quot;,&quot;properties&quot;:{&quot;noteIndex&quot;:0},&quot;isEdited&quot;:false,&quot;manualOverride&quot;:{&quot;citeprocText&quot;:&quot;(Preztika, 2020)&quot;,&quot;isManuallyOverridden&quot;:true,&quot;manualOverrideText&quot;:&quot;Preztika, 2020)&quot;},&quot;citationTag&quot;:&quot;MENDELEY_CITATION_v3_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&quot;,&quot;citationItems&quot;:[{&quot;id&quot;:&quot;81678b81-77f2-5f38-9e9b-70e28443f422&quot;,&quot;itemData&quot;:{&quot;author&quot;:[{&quot;dropping-particle&quot;:&quot;&quot;,&quot;family&quot;:&quot;Preztika&quot;,&quot;given&quot;:&quot;&quot;,&quot;non-dropping-particle&quot;:&quot;&quot;,&quot;parse-names&quot;:false,&quot;suffix&quot;:&quot;&quot;}],&quot;id&quot;:&quot;81678b81-77f2-5f38-9e9b-70e28443f422&quot;,&quot;issue&quot;:&quot;02&quot;,&quot;issued&quot;:{&quot;date-parts&quot;:[[&quot;2020&quot;]]},&quot;page&quot;:&quot;32-38&quot;,&quot;title&quot;:&quot;Pengaruh Capital Adequacy Ratio , Dana Pihak Ketiga , Non Performing Financing Dan Pembiayaan Murabahah Terhadap Profitabilitas&quot;,&quot;type&quot;:&quot;article-journal&quot;,&quot;volume&quot;:&quot;17&quot;,&quot;container-title-short&quot;:&quot;&quot;},&quot;uris&quot;:[&quot;http://www.mendeley.com/documents/?uuid=2d5ec664-2b87-4724-bd25-7fc3844872a5&quot;],&quot;isTemporary&quot;:false,&quot;legacyDesktopId&quot;:&quot;2d5ec664-2b87-4724-bd25-7fc3844872a5&quot;}]},{&quot;citationID&quot;:&quot;MENDELEY_CITATION_37f3ac1f-4ec0-4f30-a4b7-b9adbf467281&quot;,&quot;properties&quot;:{&quot;noteIndex&quot;:0},&quot;isEdited&quot;:false,&quot;manualOverride&quot;:{&quot;citeprocText&quot;:&quot;(Simatupang &amp;#38; Franzlay, 2016)&quot;,&quot;isManuallyOverridden&quot;:true,&quot;manualOverrideText&quot;:&quot;(Simatupang &amp; Franzlay, 2016;&quot;},&quot;citationTag&quot;:&quot;MENDELEY_CITATION_v3_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&quot;,&quot;citationItems&quot;:[{&quot;id&quot;:&quot;880d4484-d7ea-565c-b0b9-5ecb31f59eed&quot;,&quot;itemData&quot;:{&quot;abstract&quot;:&quot;Bank merupakan lembaga keuangan yang memiliki peranan penting dalam perekonomian suatu negara. Kinerja profitabilitas bank yang sehat sangat diperlukan untuk kelancaran fungsi bank syariah sebagai lembaga intermediary. Penelitian ini bertujuan untuk menganalisis pengaruh Capital Adequacy Ratio (CAR), Financing to Deposit Ratio (FDR), Efisiensi Operasional (BOPO), dan Non Performing Financing (NPF) terhadap Profitabilitas perbankan syariah di Indonesia. Subjek penelitian adalah Bank Umum Syariah yang beroperasi di Indonesia yang terdaftar di Bank Indonesia pada periode 2011 – 2013. Metode analisis yang digunakan dalam penelitian adalah analisa regresi data panel model common effect (Pooled Least Square) dengan uji hipotesis yaitu uji t dan uji F. Hasil penelitian menunjukkan variabel CAR, FDR, dan BOPO berpengaruh signifikan terhadap profitabilitas Bank Umum Syariah, sedangkan variabel NPF tidak berpengaruh signifikan terhadap profitabilitas Bank Umum Syariah. Nilai R² sebesar 0,504332 menunjukkan CAR, FDR, BOPO, dan NPF mampu menjelaskan mempengaruhi profitabilitas sebesar 50,43% dan sisanya 49,57% dipengaruhi variabel lain di luar model penelitian ini.&quot;,&quot;author&quot;:[{&quot;dropping-particle&quot;:&quot;&quot;,&quot;family&quot;:&quot;Simatupang&quot;,&quot;given&quot;:&quot;Apriani&quot;,&quot;non-dropping-particle&quot;:&quot;&quot;,&quot;parse-names&quot;:false,&quot;suffix&quot;:&quot;&quot;},{&quot;dropping-particle&quot;:&quot;&quot;,&quot;family&quot;:&quot;Franzlay&quot;,&quot;given&quot;:&quot;Denis&quot;,&quot;non-dropping-particle&quot;:&quot;&quot;,&quot;parse-names&quot;:false,&quot;suffix&quot;:&quot;&quot;}],&quot;container-title&quot;:&quot;Jurnal Administrasi Kantor&quot;,&quot;id&quot;:&quot;880d4484-d7ea-565c-b0b9-5ecb31f59eed&quot;,&quot;issue&quot;:&quot;2&quot;,&quot;issued&quot;:{&quot;date-parts&quot;:[[&quot;2016&quot;]]},&quot;page&quot;:&quot;466-485&quot;,&quot;title&quot;:&quot;Capital Adequacy Ratio(CAR), Non Performing Financing (NPF), Efisiensi Operasional (BOPO) dan Financing to Deposit Ratio (FDR) Terhadap Profitabilitas Bank Umum Syariah di Indonesia&quot;,&quot;type&quot;:&quot;article-journal&quot;,&quot;volume&quot;:&quot;4&quot;,&quot;container-title-short&quot;:&quot;&quot;},&quot;uris&quot;:[&quot;http://www.mendeley.com/documents/?uuid=05e3c5b4-041d-4a21-8288-d27c49d705a2&quot;],&quot;isTemporary&quot;:false,&quot;legacyDesktopId&quot;:&quot;05e3c5b4-041d-4a21-8288-d27c49d705a2&quot;}]},{&quot;citationID&quot;:&quot;MENDELEY_CITATION_c8977fd7-9fed-484d-8df9-464b904815d5&quot;,&quot;properties&quot;:{&quot;noteIndex&quot;:0},&quot;isEdited&quot;:false,&quot;manualOverride&quot;:{&quot;citeprocText&quot;:&quot;(Julianti, 2020)&quot;,&quot;isManuallyOverridden&quot;:true,&quot;manualOverrideText&quot;:&quot;Julianti, 2020;&quot;},&quot;citationTag&quot;:&quot;MENDELEY_CITATION_v3_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&quot;,&quot;citationItems&quot;:[{&quot;id&quot;:&quot;f3cbacf3-bf2f-5472-bab6-0c2bf340f3a5&quot;,&quot;itemData&quot;:{&quot;abstract&quot;:&quot;Mewabahnya virus Covid-19 di dunia dan termasuk di Indonesia menimbulkan banyak dampak. Salah satu dampak dari pandemi Covid-19 adalah kecemasan yang menimbulkan perilaku membeli yang impulsif. Pembelian impulsif banyak terjadi pada produk kesehatan yang dinilai dapat melindungi diri dari terpapar virus sehingga dapat meminimalisir rasa cemas. Penelitian ini bertujuan untuk menguji hubungan kecemasan dan pembelian impulsif pada saat pandemi Covid-19. Metode penelitian yang digunakan adalah metode penelitian kuantitatif dengan alat pengumpul data berupa kuesioner, yang terdiri dari skala pembelian impulsif dan Fear of Covid-19 Scale (FCV-19S). Teknik sampling yang digunakan adalah purposive sampling dengan jumlah subjek sebanyak 145 orang dengan karakteristik pria dan wanita berusia minimal 20 tahun dan telah menikah. Hasil uji reliabilitas dengan teknik alpha cronbach diperoleh koefisien reliabilitas sebesar 0,830 pada skala pembelian impulsif dan sebesar 0,858 pada skala FCV-19S. Analisis data yang digunakan dalam penelitian ini yaitu analisis korelasi product moment pearson. Hasil analisis menunjukkan nilai signifikansi sebesar 0,000 (p≤0,01) dengan nilai koefisien korelasi antara kecemasan dan pembelian impulsif sebesar 0,327. Hasil analisis tersebut menunjukkan bahwa ada hubungan positif yang sangat signifikan antara kecemasan dan pembelian impulsif pada saat pandemi Covid-19. Semakin tinggi kecemasan yang dirasakan oleh individu akan menimbulkan pembelian impulsif yang tinggi juga.&quot;,&quot;author&quot;:[{&quot;dropping-particle&quot;:&quot;&quot;,&quot;family&quot;:&quot;Julianti&quot;,&quot;given&quot;:&quot;Annisa&quot;,&quot;non-dropping-particle&quot;:&quot;&quot;,&quot;parse-names&quot;:false,&quot;suffix&quot;:&quot;&quot;}],&quot;container-title&quot;:&quot;UG Jurnal&quot;,&quot;id&quot;:&quot;f3cbacf3-bf2f-5472-bab6-0c2bf340f3a5&quot;,&quot;issue&quot;:&quot;12&quot;,&quot;issued&quot;:{&quot;date-parts&quot;:[[&quot;2020&quot;]]},&quot;page&quot;:&quot;23-31&quot;,&quot;title&quot;:&quot;Kecemasan dan Pembelian Impulsif pada Saat Pandemi Covid-19&quot;,&quot;type&quot;:&quot;article-journal&quot;,&quot;volume&quot;:&quot;14&quot;,&quot;container-title-short&quot;:&quot;&quot;},&quot;uris&quot;:[&quot;http://www.mendeley.com/documents/?uuid=2fa05737-e320-42fc-8d43-7f2b25c46eda&quot;],&quot;isTemporary&quot;:false,&quot;legacyDesktopId&quot;:&quot;2fa05737-e320-42fc-8d43-7f2b25c46eda&quot;}]},{&quot;citationID&quot;:&quot;MENDELEY_CITATION_ec3499d2-1c99-4881-9f25-4eb195b68537&quot;,&quot;properties&quot;:{&quot;noteIndex&quot;:0},&quot;isEdited&quot;:false,&quot;manualOverride&quot;:{&quot;citeprocText&quot;:&quot;(R. Wulandari &amp;#38; Shofawati, 2017)&quot;,&quot;isManuallyOverridden&quot;:true,&quot;manualOverrideText&quot;:&quot;Wulandari &amp; Shofawati, 2017)&quot;},&quot;citationTag&quot;:&quot;MENDELEY_CITATION_v3_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&quot;,&quot;citationItems&quot;:[{&quot;id&quot;:&quot;505b2e0b-034b-5b5b-8444-bc13a248e547&quot;,&quot;itemData&quot;:{&quot;DOI&quot;:&quot;10.20473/vol4iss20179pp741-756&quot;,&quot;ISSN&quot;:&quot;2407-1935&quot;,&quot;abstract&quot;:&quot;This research aims to analyze the influence of Capital Adequacy Ratio (CAR), Financing to Deposit Ratio (FDR), Non Performing Financing (NPF), and Third Party Fund Growth (DPK growth) to Return On Assets (ROA) of Islamic Rural Bank in Indonesia. All data that uses in this research contained from Sharia Banking Statistic (SPS) Bank Indonesia. This research used the quantitative approach method. The data analysis method used in this research is multiple linear regression analysis. Based on the results of this research showed that simultaneously CAR, FDR, NPF, and DPK growth had significant effect to ROA with significant value 0,000. Partially, CAR had not significant effect to ROA, but FDR, NPF, and DPK growth partially had significant effect to ROA. The ability of CAR, FDR, NPF, and DPK growth in explaining ROA ratio of 58%, and the remaining 42% was explained by other variables outside the model used in this research.&quot;,&quot;author&quot;:[{&quot;dropping-particle&quot;:&quot;&quot;,&quot;family&quot;:&quot;Wulandari&quot;,&quot;given&quot;:&quot;Retno&quot;,&quot;non-dropping-particle&quot;:&quot;&quot;,&quot;parse-names&quot;:false,&quot;suffix&quot;:&quot;&quot;},{&quot;dropping-particle&quot;:&quot;&quot;,&quot;family&quot;:&quot;Shofawati&quot;,&quot;given&quot;:&quot;Atina&quot;,&quot;non-dropping-particle&quot;:&quot;&quot;,&quot;parse-names&quot;:false,&quot;suffix&quot;:&quot;&quot;}],&quot;container-title&quot;:&quot;Jurnal Ekonomi Syariah Teori dan Terapan&quot;,&quot;id&quot;:&quot;505b2e0b-034b-5b5b-8444-bc13a248e547&quot;,&quot;issue&quot;:&quot;9&quot;,&quot;issued&quot;:{&quot;date-parts&quot;:[[&quot;2017&quot;]]},&quot;page&quot;:&quot;741&quot;,&quot;title&quot;:&quot;Analisis Pengaruh CAR, FDR, NPF, dan Pertumbuhan DPK Terhadap Profitabilitas Pada Industri Bank Pembiayaan Rakyat Syariah di Indonesia Tahun 2011-2015&quot;,&quot;type&quot;:&quot;article-journal&quot;,&quot;volume&quot;:&quot;4&quot;,&quot;container-title-short&quot;:&quot;&quot;},&quot;uris&quot;:[&quot;http://www.mendeley.com/documents/?uuid=43c58c10-9eef-46b5-a946-5e0fabe69bf2&quot;],&quot;isTemporary&quot;:false,&quot;legacyDesktopId&quot;:&quot;43c58c10-9eef-46b5-a946-5e0fabe69bf2&quot;}]},{&quot;citationID&quot;:&quot;MENDELEY_CITATION_77596bf3-7eb3-4486-a3e8-def209a07664&quot;,&quot;properties&quot;:{&quot;noteIndex&quot;:0},&quot;isEdited&quot;:false,&quot;manualOverride&quot;:{&quot;citeprocText&quot;:&quot;(Ni’mah, 2020)&quot;,&quot;isManuallyOverridden&quot;:true,&quot;manualOverrideText&quot;:&quot;(Ni’mah, 2020;&quot;},&quot;citationTag&quot;:&quot;MENDELEY_CITATION_v3_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&quot;,&quot;citationItems&quot;:[{&quot;id&quot;:&quot;f62859a4-4c80-5ee7-b9ab-cf386c2c0e7c&quot;,&quot;itemData&quot;:{&quot;author&quot;:[{&quot;dropping-particle&quot;:&quot;&quot;,&quot;family&quot;:&quot;Ni'mah&quot;,&quot;given&quot;:&quot;Wiqoyatun&quot;,&quot;non-dropping-particle&quot;:&quot;&quot;,&quot;parse-names&quot;:false,&quot;suffix&quot;:&quot;&quot;}],&quot;id&quot;:&quot;f62859a4-4c80-5ee7-b9ab-cf386c2c0e7c&quot;,&quot;issued&quot;:{&quot;date-parts&quot;:[[&quot;2020&quot;]]},&quot;title&quot;:&quot;PENGARUH SERTIFIKAT BANK INDONESIA SYARIAH (SBIS), FINANCING TO DEPOSIT RATIO (FDR), NON PERFORMING FINANCING (NPF), DAN DANA PIHAK KETIGA (DPK) TERHADAP PEMBIAYAAN MUSYARAKAH (STUDI KASUS PADA BANK UMUM SYARIAH PERIODE 2015-2018)&quot;,&quot;type&quot;:&quot;article-journal&quot;,&quot;container-title-short&quot;:&quot;&quot;},&quot;uris&quot;:[&quot;http://www.mendeley.com/documents/?uuid=0b2a9564-d0cb-4f3c-bc17-f94d16193f0e&quot;],&quot;isTemporary&quot;:false,&quot;legacyDesktopId&quot;:&quot;0b2a9564-d0cb-4f3c-bc17-f94d16193f0e&quot;}]},{&quot;citationID&quot;:&quot;MENDELEY_CITATION_cef6d152-5c9e-4cfe-9b22-bc280eb1edf4&quot;,&quot;properties&quot;:{&quot;noteIndex&quot;:0},&quot;isEdited&quot;:false,&quot;manualOverride&quot;:{&quot;citeprocText&quot;:&quot;(Simatupang &amp;#38; Franzlay, 2016)&quot;,&quot;isManuallyOverridden&quot;:true,&quot;manualOverrideText&quot;:&quot;Simatupang &amp; Franzlay, 2016;&quot;},&quot;citationTag&quot;:&quot;MENDELEY_CITATION_v3_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&quot;,&quot;citationItems&quot;:[{&quot;id&quot;:&quot;880d4484-d7ea-565c-b0b9-5ecb31f59eed&quot;,&quot;itemData&quot;:{&quot;abstract&quot;:&quot;Bank merupakan lembaga keuangan yang memiliki peranan penting dalam perekonomian suatu negara. Kinerja profitabilitas bank yang sehat sangat diperlukan untuk kelancaran fungsi bank syariah sebagai lembaga intermediary. Penelitian ini bertujuan untuk menganalisis pengaruh Capital Adequacy Ratio (CAR), Financing to Deposit Ratio (FDR), Efisiensi Operasional (BOPO), dan Non Performing Financing (NPF) terhadap Profitabilitas perbankan syariah di Indonesia. Subjek penelitian adalah Bank Umum Syariah yang beroperasi di Indonesia yang terdaftar di Bank Indonesia pada periode 2011 – 2013. Metode analisis yang digunakan dalam penelitian adalah analisa regresi data panel model common effect (Pooled Least Square) dengan uji hipotesis yaitu uji t dan uji F. Hasil penelitian menunjukkan variabel CAR, FDR, dan BOPO berpengaruh signifikan terhadap profitabilitas Bank Umum Syariah, sedangkan variabel NPF tidak berpengaruh signifikan terhadap profitabilitas Bank Umum Syariah. Nilai R² sebesar 0,504332 menunjukkan CAR, FDR, BOPO, dan NPF mampu menjelaskan mempengaruhi profitabilitas sebesar 50,43% dan sisanya 49,57% dipengaruhi variabel lain di luar model penelitian ini.&quot;,&quot;author&quot;:[{&quot;dropping-particle&quot;:&quot;&quot;,&quot;family&quot;:&quot;Simatupang&quot;,&quot;given&quot;:&quot;Apriani&quot;,&quot;non-dropping-particle&quot;:&quot;&quot;,&quot;parse-names&quot;:false,&quot;suffix&quot;:&quot;&quot;},{&quot;dropping-particle&quot;:&quot;&quot;,&quot;family&quot;:&quot;Franzlay&quot;,&quot;given&quot;:&quot;Denis&quot;,&quot;non-dropping-particle&quot;:&quot;&quot;,&quot;parse-names&quot;:false,&quot;suffix&quot;:&quot;&quot;}],&quot;container-title&quot;:&quot;Jurnal Administrasi Kantor&quot;,&quot;id&quot;:&quot;880d4484-d7ea-565c-b0b9-5ecb31f59eed&quot;,&quot;issue&quot;:&quot;2&quot;,&quot;issued&quot;:{&quot;date-parts&quot;:[[&quot;2016&quot;]]},&quot;page&quot;:&quot;466-485&quot;,&quot;title&quot;:&quot;Capital Adequacy Ratio(CAR), Non Performing Financing (NPF), Efisiensi Operasional (BOPO) dan Financing to Deposit Ratio (FDR) Terhadap Profitabilitas Bank Umum Syariah di Indonesia&quot;,&quot;type&quot;:&quot;article-journal&quot;,&quot;volume&quot;:&quot;4&quot;,&quot;container-title-short&quot;:&quot;&quot;},&quot;uris&quot;:[&quot;http://www.mendeley.com/documents/?uuid=05e3c5b4-041d-4a21-8288-d27c49d705a2&quot;],&quot;isTemporary&quot;:false,&quot;legacyDesktopId&quot;:&quot;05e3c5b4-041d-4a21-8288-d27c49d705a2&quot;}]},{&quot;citationID&quot;:&quot;MENDELEY_CITATION_ef11ff34-52ce-4522-b5f0-7e24468b0477&quot;,&quot;properties&quot;:{&quot;noteIndex&quot;:0},&quot;isEdited&quot;:false,&quot;manualOverride&quot;:{&quot;citeprocText&quot;:&quot;(Munir, 2019)&quot;,&quot;isManuallyOverridden&quot;:true,&quot;manualOverrideText&quot;:&quot;Munir, 2019;&quot;},&quot;citationTag&quot;:&quot;MENDELEY_CITATION_v3_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&quot;,&quot;citationItems&quot;:[{&quot;id&quot;:&quot;320c6598-dead-5d86-aa22-201db4f848bf&quot;,&quot;itemData&quot;:{&quot;ISSN&quot;:&quot;2622-4798&quot;,&quot;abstract&quot;:&quot;Journal.&quot;,&quot;author&quot;:[{&quot;dropping-particle&quot;:&quot;&quot;,&quot;family&quot;:&quot;Munir&quot;,&quot;given&quot;:&quot;Misbahul&quot;,&quot;non-dropping-particle&quot;:&quot;&quot;,&quot;parse-names&quot;:false,&quot;suffix&quot;:&quot;&quot;}],&quot;container-title&quot;:&quot;Ihtifaz: Journal of Islamic Economics, Finance, and Banking&quot;,&quot;id&quot;:&quot;320c6598-dead-5d86-aa22-201db4f848bf&quot;,&quot;issue&quot;:&quot;2&quot;,&quot;issued&quot;:{&quot;date-parts&quot;:[[&quot;2019&quot;]]},&quot;page&quot;:&quot;89-98&quot;,&quot;title&quot;:&quot;Analisis Pengaruh CAR, NPF, FDR dan Inflasi terhadap Profitabilitas Perbankan Syariah Indonesia&quot;,&quot;type&quot;:&quot;article-journal&quot;,&quot;volume&quot;:&quot;1&quot;,&quot;container-title-short&quot;:&quot;&quot;},&quot;uris&quot;:[&quot;http://www.mendeley.com/documents/?uuid=8732f64d-8f53-4379-b194-102f7cbb738c&quot;],&quot;isTemporary&quot;:false,&quot;legacyDesktopId&quot;:&quot;8732f64d-8f53-4379-b194-102f7cbb738c&quot;}]},{&quot;citationID&quot;:&quot;MENDELEY_CITATION_a14255dd-2fc3-402a-b352-1afffeddfe40&quot;,&quot;properties&quot;:{&quot;noteIndex&quot;:0},&quot;isEdited&quot;:false,&quot;manualOverride&quot;:{&quot;citeprocText&quot;:&quot;(Rahmawati et al., 2021)&quot;,&quot;isManuallyOverridden&quot;:true,&quot;manualOverrideText&quot;:&quot;Rahmawati et al., 2021)&quot;},&quot;citationTag&quot;:&quot;MENDELEY_CITATION_v3_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&quot;,&quot;citationItems&quot;:[{&quot;id&quot;:&quot;1c9e7ef5-9c1a-5d0f-bb5a-9c998eae7ca2&quot;,&quot;itemData&quot;:{&quot;DOI&quot;:&quot;10.46821/bharanomics.v2i1.194&quot;,&quot;author&quot;:[{&quot;dropping-particle&quot;:&quot;&quot;,&quot;family&quot;:&quot;Rahmawati&quot;,&quot;given&quot;:&quot;Ula Aulia&quot;,&quot;non-dropping-particle&quot;:&quot;&quot;,&quot;parse-names&quot;:false,&quot;suffix&quot;:&quot;&quot;},{&quot;dropping-particle&quot;:&quot;&quot;,&quot;family&quot;:&quot;Balafif&quot;,&quot;given&quot;:&quot;Mohammad&quot;,&quot;non-dropping-particle&quot;:&quot;&quot;,&quot;parse-names&quot;:false,&quot;suffix&quot;:&quot;&quot;},{&quot;dropping-particle&quot;:&quot;&quot;,&quot;family&quot;:&quot;Wahyuni&quot;,&quot;given&quot;:&quot;Susi Tri&quot;,&quot;non-dropping-particle&quot;:&quot;&quot;,&quot;parse-names&quot;:false,&quot;suffix&quot;:&quot;&quot;},{&quot;dropping-particle&quot;:&quot;&quot;,&quot;family&quot;:&quot;Ekonomi&quot;,&quot;given&quot;:&quot;Fakultas&quot;,&quot;non-dropping-particle&quot;:&quot;&quot;,&quot;parse-names&quot;:false,&quot;suffix&quot;:&quot;&quot;},{&quot;dropping-particle&quot;:&quot;&quot;,&quot;family&quot;:&quot;Bhayangkara&quot;,&quot;given&quot;:&quot;Universitas&quot;,&quot;non-dropping-particle&quot;:&quot;&quot;,&quot;parse-names&quot;:false,&quot;suffix&quot;:&quot;&quot;}],&quot;id&quot;:&quot;1c9e7ef5-9c1a-5d0f-bb5a-9c998eae7ca2&quot;,&quot;issued&quot;:{&quot;date-parts&quot;:[[&quot;2021&quot;]]},&quot;page&quot;:&quot;93-106&quot;,&quot;title&quot;:&quot;Analisis Pengaruh CAR , NPF , FDR , BOPO , dan NOM terhadap Kinerja Keuangan ( ROA ) pada Bank Umum Syariah Periode 2015-2019&quot;,&quot;type&quot;:&quot;article-journal&quot;,&quot;volume&quot;:&quot;2&quot;,&quot;container-title-short&quot;:&quot;&quot;},&quot;uris&quot;:[&quot;http://www.mendeley.com/documents/?uuid=1cbf5c03-c311-4676-bdb4-525543bf0522&quot;],&quot;isTemporary&quot;:false,&quot;legacyDesktopId&quot;:&quot;1cbf5c03-c311-4676-bdb4-525543bf0522&quot;}]},{&quot;citationID&quot;:&quot;MENDELEY_CITATION_f53c3f9a-653a-43ff-8c0a-e086425ca93c&quot;,&quot;properties&quot;:{&quot;noteIndex&quot;:0},&quot;isEdited&quot;:false,&quot;manualOverride&quot;:{&quot;isManuallyOverridden&quot;:true,&quot;citeprocText&quot;:&quot;(Nyoman Sawitri, 2018; Sugeng Riadi, 2018; P. Wulandari, 2022)&quot;,&quot;manualOverrideText&quot;:&quot;Wulandari, 2022).&quot;},&quot;citationTag&quot;:&quot;MENDELEY_CITATION_v3_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&quot;,&quot;citationItems&quot;:[{&quot;id&quot;:&quot;68682134-5bcd-3be7-bbf3-37ba9997dd4a&quot;,&quot;itemData&quot;:{&quot;type&quot;:&quot;report&quot;,&quot;id&quot;:&quot;68682134-5bcd-3be7-bbf3-37ba9997dd4a&quot;,&quot;title&quot;:&quot;Sawitri: The Prediction of Third Party Funds, Interest Rates, and Non Performing… Jurnal Manajemen&quot;,&quot;author&quot;:[{&quot;family&quot;:&quot;Nyoman Sawitri&quot;,&quot;given&quot;:&quot;Ni&quot;,&quot;parse-names&quot;:false,&quot;dropping-particle&quot;:&quot;&quot;,&quot;non-dropping-particle&quot;:&quot;&quot;}],&quot;issued&quot;:{&quot;date-parts&quot;:[[2018]]},&quot;number-of-pages&quot;:&quot;409-420&quot;,&quot;abstract&quot;:&quot;This research aims to analyze the influence of third party funds, Bank Indonesia Certificates, and non-performing loans on return on assets and loan deposit ratio and the effect of loan deposit ratio on return on assets of commercial banks in Indonesia. The sample of this research is commercial bank listed Bursa Efek Indonesia period 2011-2015. There are 15 banks that meet the criteria as research samples with assets above IDR 50 Trillion. Hypothesis testing uses path analysis techniques. The results of this research indicate that TPF, BIC and NPL are partially and simultaneously influential and significant to the LDR, while TPF, BIC, NPL simultaneously also have an effect and significant effect on ROA, and LDR affects ROA but is not significant.&quot;,&quot;issue&quot;:&quot;03&quot;,&quot;volume&quot;:&quot;XXII&quot;,&quot;container-title-short&quot;:&quot;&quot;},&quot;isTemporary&quot;:false},{&quot;id&quot;:&quot;91252b3c-89a2-3cc2-91c8-03eb532cd2e3&quot;,&quot;itemData&quot;:{&quot;type&quot;:&quot;article-journal&quot;,&quot;id&quot;:&quot;91252b3c-89a2-3cc2-91c8-03eb532cd2e3&quot;,&quot;title&quot;:&quot;Effect of Third Party Funds, Return on Assets, Independent Commissioners and Institutional Ownership on Banking Profit Management&quot;,&quot;author&quot;:[{&quot;family&quot;:&quot;Wulandari&quot;,&quot;given&quot;:&quot;Pipit&quot;,&quot;parse-names&quot;:false,&quot;dropping-particle&quot;:&quot;&quot;,&quot;non-dropping-particle&quot;:&quot;&quot;}],&quot;container-title&quot;:&quot;Budapest Internatinal research anc critic&quot;,&quot;DOI&quot;:&quot;10.33258/birci.v5i1.4072&quot;,&quot;URL&quot;:&quot;https://doi.org/10.33258/birci.v5i1.4072&quot;,&quot;issued&quot;:{&quot;date-parts&quot;:[[2022]]},&quot;container-title-short&quot;:&quot;&quot;},&quot;isTemporary&quot;:false},{&quot;id&quot;:&quot;aa2a8539-2561-3d05-9fec-e899089e9004&quot;,&quot;itemData&quot;:{&quot;type&quot;:&quot;report&quot;,&quot;id&quot;:&quot;aa2a8539-2561-3d05-9fec-e899089e9004&quot;,&quot;title&quot;:&quot;The effect of Third Parties Fund, Non Performing Loan, Capital Adequacy Ratio, Loan to Deposit Ratio, Return On Assets, Net Interest Margin and Operating Expenses Operating Income on Lending (Study in Regional Development Banks in Indonesia)&quot;,&quot;author&quot;:[{&quot;family&quot;:&quot;Sugeng Riadi&quot;,&quot;given&quot;:&quot;&quot;,&quot;parse-names&quot;:false,&quot;dropping-particle&quot;:&quot;&quot;,&quot;non-dropping-particle&quot;:&quot;&quot;}],&quot;issued&quot;:{&quot;date-parts&quot;:[[2018]]},&quot;abstract&quot;:&quot;The purpose of this research was to determine whether Income effect on lending in regional development banks in Indonesia. Object in this study is a regional development banks in Indonesia 2010-2014 (26 banks). Methods of data collection is the historical data with data analysis techniques that multiple linear regression analysis. While hypothesis test using t-test to test the effect of partial variable and F-test to test effect of simultan variable. The results showed that in simultan, all independent variable (TPF, NPL, CAR, LDR, ROA, NIM and BOPO) influence on dependent variable (lending). The results showed that in partial, Third Parties Fund (TPF), Loan to Deposit Ratio (LDR), Capital Adequacy Ratio (CAR) and the Return on Assets (ROA) positive and significant impact on lending. Variable Operating Expenses Operating Income a significant negative effect on the loan portofolio, while the variable Non Performing Loan (NPL) has no effect on lending. The most dominant independent variable affecting on lending of regional development banks in Indonesia is Third Parties Fund (TPF) Keywords Third parties fund, non performing loan, capital adequacy ratio, loan to deposit ratio, return on assets, net interest margin, operating expenses operating income, lending&quot;,&quot;container-title-short&quot;:&quot;&quot;},&quot;isTemporary&quot;:false}]},{&quot;citationID&quot;:&quot;MENDELEY_CITATION_c919eac7-b130-4b31-9e24-c76b34744dfd&quot;,&quot;properties&quot;:{&quot;noteIndex&quot;:0},&quot;isEdited&quot;:false,&quot;manualOverride&quot;:{&quot;isManuallyOverridden&quot;:true,&quot;citeprocText&quot;:&quot;(Maulana El &amp;#38; Yuliana, 2022)&quot;,&quot;manualOverrideText&quot;:&quot;(Maulana &amp; Yuliana, 2022).&quot;},&quot;citationTag&quot;:&quot;MENDELEY_CITATION_v3_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&quot;,&quot;citationItems&quot;:[{&quot;id&quot;:&quot;d38e00d8-4e32-3a12-b671-4064f49341db&quot;,&quot;itemData&quot;:{&quot;type&quot;:&quot;report&quot;,&quot;id&quot;:&quot;d38e00d8-4e32-3a12-b671-4064f49341db&quot;,&quot;title&quot;:&quot;THE EFFECT OF MUDHARABAH AND MUSYARAKAH FINANCING ON PROFITABILITY OF ISLAMIC BANKS IN INDONESIA&quot;,&quot;author&quot;:[{&quot;family&quot;:&quot;Maulana El&quot;,&quot;given&quot;:&quot;Iqbal&quot;,&quot;parse-names&quot;:false,&quot;dropping-particle&quot;:&quot;&quot;,&quot;non-dropping-particle&quot;:&quot;&quot;},{&quot;family&quot;:&quot;Yuliana&quot;,&quot;given&quot;:&quot;Indah&quot;,&quot;parse-names&quot;:false,&quot;dropping-particle&quot;:&quot;&quot;,&quot;non-dropping-particle&quot;:&quot;&quot;}],&quot;container-title&quot;:&quot;Indonesian Interdisciplinary Journal of Sharia Economics (IIJSE)&quot;,&quot;issued&quot;:{&quot;date-parts&quot;:[[2022]]},&quot;number-of-pages&quot;:&quot;2621-606&quot;,&quot;abstract&quot;:&quot;The study aims to determine the effect of Mudharabah and Musyarakah financing on profitability of Islamic banks in Indonesia. Profitability is measured by using ROA. The population used in this study is Islamic banks registered in Bank Indonesia from 2016 to 2020, and by using purposive sampling technique. The researchers obtained 8 Islamic banks that meet the criteria. The study uses MRA (Multivariate Regression Analysis) with the following results: the Mudharabah variable has a t count = 5.812 and a t table = 2.026 (t count &gt; t table) with a significance level of 0.000001 &lt; 0.05. Thus, H1 is accepted, Mudharabah has a significant positive effect on profitability of Islamic bank. The Musyarakah variable has a t count =-3.120 and a t table = 2.026 (t count &gt; t table) with a significance level of 0.003498 &lt; 0.05. Therefore, H2 is accepted, Musyarakah has a significant negative effect on profitability of Islamic banks.&quot;,&quot;issue&quot;:&quot;1&quot;,&quot;volume&quot;:&quot;5&quot;,&quot;container-title-short&quot;:&quot;&quot;},&quot;isTemporary&quot;:false}]},{&quot;citationID&quot;:&quot;MENDELEY_CITATION_6b8203e2-873e-4e34-877f-4e6c1e206db6&quot;,&quot;properties&quot;:{&quot;noteIndex&quot;:0},&quot;isEdited&quot;:false,&quot;manualOverride&quot;:{&quot;citeprocText&quot;:&quot;(Aulia, 2019)&quot;,&quot;isManuallyOverridden&quot;:true,&quot;manualOverrideText&quot;:&quot;Aulia (2019)&quot;},&quot;citationTag&quot;:&quot;MENDELEY_CITATION_v3_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&quot;,&quot;citationItems&quot;:[{&quot;id&quot;:&quot;4ce1d042-7468-5c12-bf4c-9c0fb739ad45&quot;,&quot;itemData&quot;:{&quot;author&quot;:[{&quot;dropping-particle&quot;:&quot;&quot;,&quot;family&quot;:&quot;Aulia&quot;,&quot;given&quot;:&quot;Fena Ulfa&quot;,&quot;non-dropping-particle&quot;:&quot;&quot;,&quot;parse-names&quot;:false,&quot;suffix&quot;:&quot;&quot;}],&quot;id&quot;:&quot;4ce1d042-7468-5c12-bf4c-9c0fb739ad45&quot;,&quot;issued&quot;:{&quot;date-parts&quot;:[[&quot;2019&quot;]]},&quot;title&quot;:&quot;Praktik Pembiayaan Mudharabah dan Musyarakah terhadap Profitabilitas Bank Umum Syariah di Indonesia&quot;,&quot;type&quot;:&quot;article-journal&quot;,&quot;container-title-short&quot;:&quot;&quot;},&quot;uris&quot;:[&quot;http://www.mendeley.com/documents/?uuid=25d6f7fe-6077-4b5a-a157-963740235e9b&quot;],&quot;isTemporary&quot;:false,&quot;legacyDesktopId&quot;:&quot;25d6f7fe-6077-4b5a-a157-963740235e9b&quot;}]},{&quot;citationID&quot;:&quot;MENDELEY_CITATION_f5048ce7-3cfb-499c-8c77-27c760981bc3&quot;,&quot;properties&quot;:{&quot;noteIndex&quot;:0},&quot;isEdited&quot;:false,&quot;manualOverride&quot;:{&quot;citeprocText&quot;:&quot;(Primadita, 2020)&quot;,&quot;isManuallyOverridden&quot;:true,&quot;manualOverrideText&quot;:&quot;Primadita (2020)&quot;},&quot;citationTag&quot;:&quot;MENDELEY_CITATION_v3_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&quot;,&quot;citationItems&quot;:[{&quot;id&quot;:&quot;2ad97c0c-f917-5e8b-8ece-971aee3f62ab&quot;,&quot;itemData&quot;:{&quot;ISSN&quot;:&quot;2011-2020&quot;,&quot;abstract&quot;:&quot;This study aims to examine the effect of buying and selling financing, profit-sharing financing, FDR, NPF, and OEOI on Islamic Banking Performance as proxied by the ROA ratio. The analysis technique uses the ECM (Error Correction Model). The results showed that murabahah, mudharabah, and musyarakah financing had no effect in the short term on ROA, while in the long term only the mudharabah financing variable had a positive and significant effect on the 10% degree on ROA BUS, for murabahah and musyarakah financing variables had no effect on ROA has no effect in the long term. The NPF and BOPO variables have a short-term effect on ROA while FDR has no effect on ROA in the short term. In the long run, the variables FDR, NPF, and BOPO have an effect on ROA.&quot;,&quot;author&quot;:[{&quot;dropping-particle&quot;:&quot;&quot;,&quot;family&quot;:&quot;Primadita&quot;,&quot;given&quot;:&quot;Novitasari&quot;,&quot;non-dropping-particle&quot;:&quot;&quot;,&quot;parse-names&quot;:false,&quot;suffix&quot;:&quot;&quot;}],&quot;id&quot;:&quot;2ad97c0c-f917-5e8b-8ece-971aee3f62ab&quot;,&quot;issue&quot;:&quot;2&quot;,&quot;issued&quot;:{&quot;date-parts&quot;:[[&quot;2020&quot;]]},&quot;title&quot;:&quot;ANALISIS PENGARUH MURABAHAH, MUDHARABAH, MUSYARAKAH, FDR, NPF, DAN BOPO TERHADAP KINERJA PERBANKAN SYARIAH TAHUN 2011-2020&quot;,&quot;type&quot;:&quot;article-journal&quot;,&quot;volume&quot;:&quot;4&quot;,&quot;container-title-short&quot;:&quot;&quot;},&quot;uris&quot;:[&quot;http://www.mendeley.com/documents/?uuid=da4d381b-a0b6-4149-89fc-40fa8405b406&quot;],&quot;isTemporary&quot;:false,&quot;legacyDesktopId&quot;:&quot;da4d381b-a0b6-4149-89fc-40fa8405b406&quot;}]},{&quot;citationID&quot;:&quot;MENDELEY_CITATION_6ee45369-0780-432a-941c-ea33e0ca7cab&quot;,&quot;properties&quot;:{&quot;noteIndex&quot;:0},&quot;isEdited&quot;:false,&quot;manualOverride&quot;:{&quot;citeprocText&quot;:&quot;(Pratama &amp;#38; Febriansyah, 2020)&quot;,&quot;isManuallyOverridden&quot;:true,&quot;manualOverrideText&quot;:&quot;Pratama &amp; Febriansyah (2020)&quot;},&quot;citationTag&quot;:&quot;MENDELEY_CITATION_v3_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&quot;,&quot;citationItems&quot;:[{&quot;id&quot;:&quot;e4e8681f-9939-5c06-8c15-a64d1cd45ca1&quot;,&quot;itemData&quot;:{&quot;author&quot;:[{&quot;dropping-particle&quot;:&quot;&quot;,&quot;family&quot;:&quot;Pratama&quot;,&quot;given&quot;:&quot;Yogi Bayu&quot;,&quot;non-dropping-particle&quot;:&quot;&quot;,&quot;parse-names&quot;:false,&quot;suffix&quot;:&quot;&quot;},{&quot;dropping-particle&quot;:&quot;&quot;,&quot;family&quot;:&quot;Febriansyah&quot;,&quot;given&quot;:&quot;Erwin&quot;,&quot;non-dropping-particle&quot;:&quot;&quot;,&quot;parse-names&quot;:false,&quot;suffix&quot;:&quot;&quot;}],&quot;id&quot;:&quot;e4e8681f-9939-5c06-8c15-a64d1cd45ca1&quot;,&quot;issue&quot;:&quot;1&quot;,&quot;issued&quot;:{&quot;date-parts&quot;:[[&quot;2020&quot;]]},&quot;page&quot;:&quot;49-60&quot;,&quot;title&quot;:&quot;THE EFFECT OF MUDHARABAH , MUSYARAKAH AND MURABAHAH FINANCE ON THE PROFITABILITY OF SHARIA GENERAL BANKS IN INDONESIA IN MURABAHAH TERHADAP PROFITABILITAS BANK UMUM SYARIAH DI INDONESIA PADA TAHUN 2013-2017&quot;,&quot;type&quot;:&quot;article-journal&quot;,&quot;volume&quot;:&quot;1&quot;,&quot;container-title-short&quot;:&quot;&quot;},&quot;uris&quot;:[&quot;http://www.mendeley.com/documents/?uuid=82960e8f-8503-4a9c-bb6a-1baa2787acb6&quot;],&quot;isTemporary&quot;:false,&quot;legacyDesktopId&quot;:&quot;82960e8f-8503-4a9c-bb6a-1baa2787acb6&quot;}]},{&quot;citationID&quot;:&quot;MENDELEY_CITATION_63ef75eb-e27c-44f0-9bda-564bdceedfde&quot;,&quot;properties&quot;:{&quot;noteIndex&quot;:0},&quot;isEdited&quot;:false,&quot;manualOverride&quot;:{&quot;isManuallyOverridden&quot;:false,&quot;citeprocText&quot;:&quot;(Husin et al., 2022)&quot;,&quot;manualOverrideText&quot;:&quot;&quot;},&quot;citationTag&quot;:&quot;MENDELEY_CITATION_v3_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&quot;,&quot;citationItems&quot;:[{&quot;id&quot;:&quot;33127219-b8e4-3dff-abd4-4718b057513e&quot;,&quot;itemData&quot;:{&quot;type&quot;:&quot;article-journal&quot;,&quot;id&quot;:&quot;33127219-b8e4-3dff-abd4-4718b057513e&quot;,&quot;title&quot;:&quot;Influence Of Third Party Funds on Credit Distribution&quot;,&quot;author&quot;:[{&quot;family&quot;:&quot;Husin&quot;,&quot;given&quot;:&quot;&quot;,&quot;parse-names&quot;:false,&quot;dropping-particle&quot;:&quot;&quot;,&quot;non-dropping-particle&quot;:&quot;&quot;},{&quot;family&quot;:&quot;Bangun&quot;,&quot;given&quot;:&quot;Cicilia Sriliasta&quot;,&quot;parse-names&quot;:false,&quot;dropping-particle&quot;:&quot;&quot;,&quot;non-dropping-particle&quot;:&quot;&quot;},{&quot;family&quot;:&quot;Suhara&quot;,&quot;given&quot;:&quot;Toni&quot;,&quot;parse-names&quot;:false,&quot;dropping-particle&quot;:&quot;&quot;,&quot;non-dropping-particle&quot;:&quot;&quot;},{&quot;family&quot;:&quot;Septiani&quot;,&quot;given&quot;:&quot;Nanda&quot;,&quot;parse-names&quot;:false,&quot;dropping-particle&quot;:&quot;&quot;,&quot;non-dropping-particle&quot;:&quot;&quot;},{&quot;family&quot;:&quot;Williams&quot;,&quot;given&quot;:&quot;Alexander&quot;,&quot;parse-names&quot;:false,&quot;dropping-particle&quot;:&quot;&quot;,&quot;non-dropping-particle&quot;:&quot;&quot;}],&quot;container-title&quot;:&quot;ADI Journal on Recent Innovation (AJRI)&quot;,&quot;DOI&quot;:&quot;10.34306/ajri.v4i1.749&quot;,&quot;ISSN&quot;:&quot;2685-9106&quot;,&quot;issued&quot;:{&quot;date-parts&quot;:[[2022,6,20]]},&quot;page&quot;:&quot;34-42&quot;,&quot;abstract&quot;:&quot;The purpose of this research is to identify the influence of Third-Party Funds, Non-Performing Loans (NPL), and Return on Assets on Credit Distribution. As well as the role of ROA which becomes mediation in PT. XYZ. This study uses samples in the form of publication balance sheet reports from PT. XYZ in the period 2019-2021. This research is a quantitative research using SEM PLS techniques through the help of smart pls 3.0 software. The results of the study found that DPK significantly affects PK, with a statistical T value of 6,556 &gt; 1.96 and the original sample of -0.773. The absence of influence of NPL on PK due to its statistical T value of 0.868 &lt; 1.96 and the original sample of -0.146 has a negative relationship to credit distribution. ROA has no direct influence on PK with a statistical T value of 0.006 &lt; 1.96 and the original sample of -0.002 has a negative relationship meaning to PK. DPK had a significant negative influence on ROA with a statistical T value of 2,966 &gt; 1.96 and the original sample of -0.657 having a negative relationship direction. There is no effect of NPL on ROA with a Statistical T value of 0.205 &lt; 1.96 and the original sample of 0.056 has a positive relationship to ROA. NPL has no influence over PK through ROA mediation with its Statistical T value of 0.001&lt;1.96.  &quot;,&quot;publisher&quot;:&quot;Pandawan&quot;,&quot;issue&quot;:&quot;1&quot;,&quot;volume&quot;:&quot;4&quot;,&quot;container-title-short&quot;:&quot;&quot;},&quot;isTemporary&quot;:false}]},{&quot;citationID&quot;:&quot;MENDELEY_CITATION_f94a49d9-aed7-4f82-ad4f-b03055e3f05e&quot;,&quot;properties&quot;:{&quot;noteIndex&quot;:0},&quot;isEdited&quot;:false,&quot;manualOverride&quot;:{&quot;citeprocText&quot;:&quot;(Bawono &amp;#38; Nasikin, 2021)&quot;,&quot;isManuallyOverridden&quot;:true,&quot;manualOverrideText&quot;:&quot;(Bawono &amp; Nasikin, 2021;&quot;},&quot;citationTag&quot;:&quot;MENDELEY_CITATION_v3_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&quot;,&quot;citationItems&quot;:[{&quot;id&quot;:&quot;9440cbe2-8aa2-5194-94bb-8115125f4ca6&quot;,&quot;itemData&quot;:{&quot;DOI&quot;:&quot;10.26740/al-uqud.v5n2.p250-274&quot;,&quot;author&quot;:[{&quot;dropping-particle&quot;:&quot;&quot;,&quot;family&quot;:&quot;Bawono&quot;,&quot;given&quot;:&quot;Anton&quot;,&quot;non-dropping-particle&quot;:&quot;&quot;,&quot;parse-names&quot;:false,&quot;suffix&quot;:&quot;&quot;},{&quot;dropping-particle&quot;:&quot;&quot;,&quot;family&quot;:&quot;Nasikin&quot;,&quot;given&quot;:&quot;Muhammad Kava&quot;,&quot;non-dropping-particle&quot;:&quot;&quot;,&quot;parse-names&quot;:false,&quot;suffix&quot;:&quot;&quot;}],&quot;id&quot;:&quot;9440cbe2-8aa2-5194-94bb-8115125f4ca6&quot;,&quot;issue&quot;:&quot;28&quot;,&quot;issued&quot;:{&quot;date-parts&quot;:[[&quot;2021&quot;]]},&quot;page&quot;:&quot;250-274&quot;,&quot;title&quot;:&quot;The Analysis of Inflation Effect , Interest Rate and Exchange Rate on Financing : Third-Party Funds as an Intervening Variable of Sharia Banking in Indonesia&quot;,&quot;type&quot;:&quot;article-journal&quot;,&quot;volume&quot;:&quot;5&quot;,&quot;container-title-short&quot;:&quot;&quot;},&quot;uris&quot;:[&quot;http://www.mendeley.com/documents/?uuid=cf3b9060-3292-4189-bc61-139596feaa7c&quot;],&quot;isTemporary&quot;:false,&quot;legacyDesktopId&quot;:&quot;cf3b9060-3292-4189-bc61-139596feaa7c&quot;}]},{&quot;citationID&quot;:&quot;MENDELEY_CITATION_f8bf27b5-e451-450b-bcdf-b6c7ea62ef72&quot;,&quot;properties&quot;:{&quot;noteIndex&quot;:0},&quot;isEdited&quot;:false,&quot;manualOverride&quot;:{&quot;citeprocText&quot;:&quot;(Pradesyah &amp;#38; Triandhini, 2021)&quot;,&quot;isManuallyOverridden&quot;:true,&quot;manualOverrideText&quot;:&quot;Pradesyah &amp; Triandhini, 2021;&quot;},&quot;citationTag&quot;:&quot;MENDELEY_CITATION_v3_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&quot;,&quot;citationItems&quot;:[{&quot;id&quot;:&quot;73d96e7b-6de9-5519-b057-452aa45e8697&quot;,&quot;itemData&quot;:{&quot;author&quot;:[{&quot;dropping-particle&quot;:&quot;&quot;,&quot;family&quot;:&quot;Pradesyah&quot;,&quot;given&quot;:&quot;Riyan&quot;,&quot;non-dropping-particle&quot;:&quot;&quot;,&quot;parse-names&quot;:false,&quot;suffix&quot;:&quot;&quot;},{&quot;dropping-particle&quot;:&quot;&quot;,&quot;family&quot;:&quot;Triandhini&quot;,&quot;given&quot;:&quot;Yuyun&quot;,&quot;non-dropping-particle&quot;:&quot;&quot;,&quot;parse-names&quot;:false,&quot;suffix&quot;:&quot;&quot;}],&quot;id&quot;:&quot;73d96e7b-6de9-5519-b057-452aa45e8697&quot;,&quot;issue&quot;:&quot;2&quot;,&quot;issued&quot;:{&quot;date-parts&quot;:[[&quot;2021&quot;]]},&quot;page&quot;:&quot;72-77&quot;,&quot;title&quot;:&quot;The Effect of Third-Party Funds ( DPK ), Non-Performing Financing ( NPF ) and Indonesian Sharia Bank Certificates ( SBIS ) on Sharia Banking Financing Distribution in Indonesia&quot;,&quot;type&quot;:&quot;article-journal&quot;,&quot;volume&quot;:&quot;2&quot;,&quot;container-title-short&quot;:&quot;&quot;},&quot;uris&quot;:[&quot;http://www.mendeley.com/documents/?uuid=9e0b8bda-2eac-4d2d-a1ca-26b6a21ae478&quot;],&quot;isTemporary&quot;:false,&quot;legacyDesktopId&quot;:&quot;9e0b8bda-2eac-4d2d-a1ca-26b6a21ae478&quot;}]},{&quot;citationID&quot;:&quot;MENDELEY_CITATION_27472866-eda8-4207-8552-e962de2e69cf&quot;,&quot;properties&quot;:{&quot;noteIndex&quot;:0},&quot;isEdited&quot;:false,&quot;manualOverride&quot;:{&quot;citeprocText&quot;:&quot;(Aditya, 2018)&quot;,&quot;isManuallyOverridden&quot;:true,&quot;manualOverrideText&quot;:&quot;Aditya, 2018)&quot;},&quot;citationTag&quot;:&quot;MENDELEY_CITATION_v3_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&quot;,&quot;citationItems&quot;:[{&quot;id&quot;:&quot;188373b1-5009-5bd5-b184-005ccc140c87&quot;,&quot;itemData&quot;:{&quot;author&quot;:[{&quot;dropping-particle&quot;:&quot;&quot;,&quot;family&quot;:&quot;Aditya&quot;,&quot;given&quot;:&quot;&quot;,&quot;non-dropping-particle&quot;:&quot;&quot;,&quot;parse-names&quot;:false,&quot;suffix&quot;:&quot;&quot;}],&quot;id&quot;:&quot;188373b1-5009-5bd5-b184-005ccc140c87&quot;,&quot;issued&quot;:{&quot;date-parts&quot;:[[&quot;2018&quot;]]},&quot;page&quot;:&quot;21-47&quot;,&quot;title&quot;:&quot;PENGARUH DANA PIHAK KETIGA DAN PEMBIAYAAN MUSYARAKAH TERHADAP TINGKAT PROFITABILITAS PADA PT. BANK PEMBIAYAAN RAKYAT SYARIAH (BPRS) AL IHSAN PERIODE 2012 – 2016&quot;,&quot;type&quot;:&quot;article-journal&quot;,&quot;volume&quot;:&quot;9&quot;,&quot;container-title-short&quot;:&quot;&quot;},&quot;uris&quot;:[&quot;http://www.mendeley.com/documents/?uuid=400fafdd-a3b4-4e8b-a9ad-4adcc7ab4fe2&quot;],&quot;isTemporary&quot;:false,&quot;legacyDesktopId&quot;:&quot;400fafdd-a3b4-4e8b-a9ad-4adcc7ab4fe2&quot;}]},{&quot;citationID&quot;:&quot;MENDELEY_CITATION_6c949c16-dcf2-424b-ac1c-a59fc1b37eb9&quot;,&quot;properties&quot;:{&quot;noteIndex&quot;:0},&quot;isEdited&quot;:false,&quot;manualOverride&quot;:{&quot;isManuallyOverridden&quot;:false,&quot;citeprocText&quot;:&quot;(Muhammad et al., 2020)&quot;,&quot;manualOverrideText&quot;:&quot;&quot;},&quot;citationTag&quot;:&quot;MENDELEY_CITATION_v3_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&quot;,&quot;citationItems&quot;:[{&quot;id&quot;:&quot;e0ad69fd-638c-3744-b8ba-0f3f5142e273&quot;,&quot;itemData&quot;:{&quot;type&quot;:&quot;article-journal&quot;,&quot;id&quot;:&quot;e0ad69fd-638c-3744-b8ba-0f3f5142e273&quot;,&quot;title&quot;:&quot;Internal factors and non-performing financing in Indonesian Islamic rural banks&quot;,&quot;author&quot;:[{&quot;family&quot;:&quot;Muhammad&quot;,&quot;given&quot;:&quot;Rifqi&quot;,&quot;parse-names&quot;:false,&quot;dropping-particle&quot;:&quot;&quot;,&quot;non-dropping-particle&quot;:&quot;&quot;},{&quot;family&quot;:&quot;Suluki&quot;,&quot;given&quot;:&quot;Ahsin&quot;,&quot;parse-names&quot;:false,&quot;dropping-particle&quot;:&quot;&quot;,&quot;non-dropping-particle&quot;:&quot;&quot;},{&quot;family&quot;:&quot;Nugraheni&quot;,&quot;given&quot;:&quot;Peni&quot;,&quot;parse-names&quot;:false,&quot;dropping-particle&quot;:&quot;&quot;,&quot;non-dropping-particle&quot;:&quot;&quot;}],&quot;container-title&quot;:&quot;Cogent Business and Management&quot;,&quot;DOI&quot;:&quot;10.1080/23311975.2020.1823583&quot;,&quot;ISSN&quot;:&quot;23311975&quot;,&quot;issued&quot;:{&quot;date-parts&quot;:[[2020,1,1]]},&quot;abstract&quot;:&quot;This study aims to analyse the influence of banks’ internal factors on Non-Performing Finance (NPF) at Islamic rural banks (IRBs) in Indonesia. IRBs has important factor in the economic activities in Indonesia because they provide small–mid-scale financing. The internal factors consist of the Financing to Deposit Ratio (FDR), Return on Assets (ROA), Capital Adequacy Ratio (CAR), Bank size and third-party funds (TPF). The sample in this study comprised 162 IRBs using quarter-year financial reports and examined using panel data regression. The statistical results show that ROA, CAR and bank size have a significant negative effect on NPF, while FDR and TPF have no impact on NPF in IRBs. This study may contribute to the evaluation of the financial performance of IRBs in managing their financing risk.&quot;,&quot;publisher&quot;:&quot;Cogent OA&quot;,&quot;issue&quot;:&quot;1&quot;,&quot;volume&quot;:&quot;7&quot;,&quot;container-title-short&quot;:&quot;&quot;},&quot;isTemporary&quot;:false}]},{&quot;citationID&quot;:&quot;MENDELEY_CITATION_f66ed6fb-ae26-4b8d-b2e3-6f9df6d3d6f1&quot;,&quot;properties&quot;:{&quot;noteIndex&quot;:0},&quot;isEdited&quot;:false,&quot;manualOverride&quot;:{&quot;citeprocText&quot;:&quot;(Amajida &amp;#38; Muthaher, 2020)&quot;,&quot;isManuallyOverridden&quot;:true,&quot;manualOverrideText&quot;:&quot;Amajida and Muthaher (2020)&quot;},&quot;citationTag&quot;:&quot;MENDELEY_CITATION_v3_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&quot;,&quot;citationItems&quot;:[{&quot;id&quot;:&quot;077ab067-24cf-5417-9e89-8618233939bc&quot;,&quot;itemData&quot;:{&quot;abstract&quot;:&quot;Saat ini di Indonesia perkembangan perbankan syariah terus mengalami peningkatan. Untuk meningkatkan profitabilitas dengan cara menghimpun dana yang berasal dari masyarakat yaitu Dana Pihak Ketiga (DPK) yang kemudian dana tersebut disalurkan kembali kepada masyarakat berupa pembiayaan Musyarakah dan Mudharabah, jika pembiayaan tersebut mengalami kemacetan atau tidak lancar maka dapat mengurangi profit atau laba. Jenis penelitian kuantitatif, menggunkan data sekunder laporan keuangan yang diperoleh dari website masing-masing bank. Jumlah sample yang diperoleh sebanyak 8 unit bank syariah. Teknik yang digunakan purposive sampling . Teknik analisis yang digunakan Regresi Linier Berganda.Hasil penelitian ini menyatkan bahwa secara parsial Dana Pihak Ketiga (DPK) tidak berpengaruh terhadap profitabilitas, Mudharabah berpengaruh positif dan signifikan terhadap profitabilitas, pembiayaan Musyarkah berpengaruh negatif dan signifikan terhadap profitabilitas, Non Performing Financing (NPF) berpengaruh negatif dan signifikan terhadap profitabilitas. Secara simultan DPK, pembiayaan Mudharabah, pembiayaan Musyarakah dan NPF bersama-sama berpengaruh terhadap profitabilitas.&quot;,&quot;author&quot;:[{&quot;dropping-particle&quot;:&quot;&quot;,&quot;family&quot;:&quot;Amajida&quot;,&quot;given&quot;:&quot;Shabhati&quot;,&quot;non-dropping-particle&quot;:&quot;&quot;,&quot;parse-names&quot;:false,&quot;suffix&quot;:&quot;&quot;},{&quot;dropping-particle&quot;:&quot;&quot;,&quot;family&quot;:&quot;Muthaher&quot;,&quot;given&quot;:&quot;Osmad&quot;,&quot;non-dropping-particle&quot;:&quot;&quot;,&quot;parse-names&quot;:false,&quot;suffix&quot;:&quot;&quot;}],&quot;container-title&quot;:&quot;Jurnal Unissula&quot;,&quot;id&quot;:&quot;077ab067-24cf-5417-9e89-8618233939bc&quot;,&quot;issue&quot;:&quot;2&quot;,&quot;issued&quot;:{&quot;date-parts&quot;:[[&quot;2020&quot;]]},&quot;page&quot;:&quot;107-117&quot;,&quot;title&quot;:&quot;Pengaruh DPK, Mudharabah, Musyarakah Dan NPF Terhadap profitabilitas (ROA) Bank Umum Syariah&quot;,&quot;type&quot;:&quot;article-journal&quot;,&quot;volume&quot;:&quot;5&quot;,&quot;container-title-short&quot;:&quot;&quot;},&quot;uris&quot;:[&quot;http://www.mendeley.com/documents/?uuid=05d03075-cf8c-4e9b-8f87-274af4bea6e8&quot;],&quot;isTemporary&quot;:false,&quot;legacyDesktopId&quot;:&quot;05d03075-cf8c-4e9b-8f87-274af4bea6e8&quot;}]},{&quot;citationID&quot;:&quot;MENDELEY_CITATION_59e498ce-80e8-465e-92a8-1e91cffbc9b1&quot;,&quot;properties&quot;:{&quot;noteIndex&quot;:0},&quot;isEdited&quot;:false,&quot;manualOverride&quot;:{&quot;citeprocText&quot;:&quot;(Sutrisno, 2020)&quot;,&quot;isManuallyOverridden&quot;:true,&quot;manualOverrideText&quot;:&quot;Sutrisno (2020)&quot;},&quot;citationTag&quot;:&quot;MENDELEY_CITATION_v3_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&quot;,&quot;citationItems&quot;:[{&quot;id&quot;:&quot;e7c26067-03bf-57d3-bb59-f4be4b1d5a8b&quot;,&quot;itemData&quot;:{&quot;DOI&quot;:&quot;10.18196/rab.040155&quot;,&quot;author&quot;:[{&quot;dropping-particle&quot;:&quot;&quot;,&quot;family&quot;:&quot;Sutrisno&quot;,&quot;given&quot;:&quot;Bambang&quot;,&quot;non-dropping-particle&quot;:&quot;&quot;,&quot;parse-names&quot;:false,&quot;suffix&quot;:&quot;&quot;}],&quot;id&quot;:&quot;e7c26067-03bf-57d3-bb59-f4be4b1d5a8b&quot;,&quot;issue&quot;:&quot;1&quot;,&quot;issued&quot;:{&quot;date-parts&quot;:[[&quot;2020&quot;]]},&quot;page&quot;:&quot;79-92&quot;,&quot;title&quot;:&quot;Pengaruh Non-Performing Financing Pembiayaan Murabahah , Mudharabah , dan Musyarakah terhadap&quot;,&quot;type&quot;:&quot;article-journal&quot;,&quot;volume&quot;:&quot;4&quot;,&quot;container-title-short&quot;:&quot;&quot;},&quot;uris&quot;:[&quot;http://www.mendeley.com/documents/?uuid=cde5678b-d65f-4051-97a9-59ee8a403b0a&quot;],&quot;isTemporary&quot;:false,&quot;legacyDesktopId&quot;:&quot;cde5678b-d65f-4051-97a9-59ee8a403b0a&quot;}]},{&quot;citationID&quot;:&quot;MENDELEY_CITATION_518e7057-2f69-4d16-aca3-c2c8e126ee72&quot;,&quot;properties&quot;:{&quot;noteIndex&quot;:0},&quot;isEdited&quot;:false,&quot;manualOverride&quot;:{&quot;citeprocText&quot;:&quot;(Primadita, 2020)&quot;,&quot;isManuallyOverridden&quot;:false,&quot;manualOverrideText&quot;:&quot;&quot;},&quot;citationTag&quot;:&quot;MENDELEY_CITATION_v3_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&quot;,&quot;citationItems&quot;:[{&quot;id&quot;:&quot;2ad97c0c-f917-5e8b-8ece-971aee3f62ab&quot;,&quot;itemData&quot;:{&quot;ISSN&quot;:&quot;2011-2020&quot;,&quot;abstract&quot;:&quot;This study aims to examine the effect of buying and selling financing, profit-sharing financing, FDR, NPF, and OEOI on Islamic Banking Performance as proxied by the ROA ratio. The analysis technique uses the ECM (Error Correction Model). The results showed that murabahah, mudharabah, and musyarakah financing had no effect in the short term on ROA, while in the long term only the mudharabah financing variable had a positive and significant effect on the 10% degree on ROA BUS, for murabahah and musyarakah financing variables had no effect on ROA has no effect in the long term. The NPF and BOPO variables have a short-term effect on ROA while FDR has no effect on ROA in the short term. In the long run, the variables FDR, NPF, and BOPO have an effect on ROA.&quot;,&quot;author&quot;:[{&quot;dropping-particle&quot;:&quot;&quot;,&quot;family&quot;:&quot;Primadita&quot;,&quot;given&quot;:&quot;Novitasari&quot;,&quot;non-dropping-particle&quot;:&quot;&quot;,&quot;parse-names&quot;:false,&quot;suffix&quot;:&quot;&quot;}],&quot;id&quot;:&quot;2ad97c0c-f917-5e8b-8ece-971aee3f62ab&quot;,&quot;issue&quot;:&quot;2&quot;,&quot;issued&quot;:{&quot;date-parts&quot;:[[&quot;2020&quot;]]},&quot;title&quot;:&quot;ANALISIS PENGARUH MURABAHAH, MUDHARABAH, MUSYARAKAH, FDR, NPF, DAN BOPO TERHADAP KINERJA PERBANKAN SYARIAH TAHUN 2011-2020&quot;,&quot;type&quot;:&quot;article-journal&quot;,&quot;volume&quot;:&quot;4&quot;,&quot;container-title-short&quot;:&quot;&quot;},&quot;uris&quot;:[&quot;http://www.mendeley.com/documents/?uuid=da4d381b-a0b6-4149-89fc-40fa8405b406&quot;],&quot;isTemporary&quot;:false,&quot;legacyDesktopId&quot;:&quot;da4d381b-a0b6-4149-89fc-40fa8405b406&quot;}]},{&quot;citationID&quot;:&quot;MENDELEY_CITATION_725cd259-8237-4b80-97a6-4b552d0d737b&quot;,&quot;properties&quot;:{&quot;noteIndex&quot;:0},&quot;isEdited&quot;:false,&quot;manualOverride&quot;:{&quot;isManuallyOverridden&quot;:true,&quot;citeprocText&quot;:&quot;(Kustiningsih et al., 2020)&quot;,&quot;manualOverrideText&quot;:&quot;(Kustiningsih et al., 2020;&quot;},&quot;citationTag&quot;:&quot;MENDELEY_CITATION_v3_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&quot;,&quot;citationItems&quot;:[{&quot;id&quot;:&quot;265a91be-8e4c-34c2-af04-2dc323ce3e0a&quot;,&quot;itemData&quot;:{&quot;type&quot;:&quot;report&quot;,&quot;id&quot;:&quot;265a91be-8e4c-34c2-af04-2dc323ce3e0a&quot;,&quot;title&quot;:&quot;STUDY RATIO FINANCIAL OF BANK PERFORMANCE: EVIDENCE FROM INDONESIA PJAEE, 17 (11) (2020) STUDY RATIO FINANCIAL OF BANK PERFORMANCE: EVIDENCE FROM INDONESIA&quot;,&quot;author&quot;:[{&quot;family&quot;:&quot;Kustiningsih&quot;,&quot;given&quot;:&quot;Nanik&quot;,&quot;parse-names&quot;:false,&quot;dropping-particle&quot;:&quot;&quot;,&quot;non-dropping-particle&quot;:&quot;&quot;},{&quot;family&quot;:&quot;Kalbuana&quot;,&quot;given&quot;:&quot;Nawang&quot;,&quot;parse-names&quot;:false,&quot;dropping-particle&quot;:&quot;&quot;,&quot;non-dropping-particle&quot;:&quot;&quot;},{&quot;family&quot;:&quot;Syafi&quot;,&quot;given&quot;:&quot;Arif&quot;,&quot;parse-names&quot;:false,&quot;dropping-particle&quot;:&quot;&quot;,&quot;non-dropping-particle&quot;:&quot;&quot;},{&quot;family&quot;:&quot;Rochman&quot;,&quot;given&quot;:&quot;ur&quot;,&quot;parse-names&quot;:false,&quot;dropping-particle&quot;:&quot;&quot;,&quot;non-dropping-particle&quot;:&quot;&quot;},{&quot;family&quot;:&quot;Miftah Farid&quot;,&quot;given&quot;:&quot;Muhammad&quot;,&quot;parse-names&quot;:false,&quot;dropping-particle&quot;:&quot;&quot;,&quot;non-dropping-particle&quot;:&quot;&quot;},{&quot;family&quot;:&quot;Surya Bharmawan&quot;,&quot;given&quot;:&quot;Agus&quot;,&quot;parse-names&quot;:false,&quot;dropping-particle&quot;:&quot;&quot;,&quot;non-dropping-particle&quot;:&quot;&quot;},{&quot;family&quot;:&quot;Farida&quot;,&quot;given&quot;:&quot;Ilya&quot;,&quot;parse-names&quot;:false,&quot;dropping-particle&quot;:&quot;&quot;,&quot;non-dropping-particle&quot;:&quot;&quot;},{&quot;family&quot;:&quot;Mazilatus Sholikha&quot;,&quot;given&quot;:&quot;Siti&quot;,&quot;parse-names&quot;:false,&quot;dropping-particle&quot;:&quot;&quot;,&quot;non-dropping-particle&quot;:&quot;&quot;},{&quot;family&quot;:&quot;Setiawan&quot;,&quot;given&quot;:&quot;Deddy&quot;,&quot;parse-names&quot;:false,&quot;dropping-particle&quot;:&quot;&quot;,&quot;non-dropping-particle&quot;:&quot;&quot;},{&quot;family&quot;:&quot;Hidayat&quot;,&quot;given&quot;:&quot;Widi&quot;,&quot;parse-names&quot;:false,&quot;dropping-particle&quot;:&quot;&quot;,&quot;non-dropping-particle&quot;:&quot;&quot;},{&quot;family&quot;:&quot;Junus&quot;,&quot;given&quot;:&quot;Onong&quot;,&quot;parse-names&quot;:false,&quot;dropping-particle&quot;:&quot;&quot;,&quot;non-dropping-particle&quot;:&quot;&quot;},{&quot;family&quot;:&quot;Salama Amar&quot;,&quot;given&quot;:&quot;Siti&quot;,&quot;parse-names&quot;:false,&quot;dropping-particle&quot;:&quot;&quot;,&quot;non-dropping-particle&quot;:&quot;&quot;},{&quot;family&quot;:&quot;Suryansah&quot;,&quot;given&quot;:&quot;Ah&quot;,&quot;parse-names&quot;:false,&quot;dropping-particle&quot;:&quot;&quot;,&quot;non-dropping-particle&quot;:&quot;&quot;},{&quot;family&quot;:&quot;Ayu&quot;,&quot;given&quot;:&quot;Dini&quot;,&quot;parse-names&quot;:false,&quot;dropping-particle&quot;:&quot;&quot;,&quot;non-dropping-particle&quot;:&quot;&quot;}],&quot;container-title&quot;:&quot;Jl. Airlangga&quot;,&quot;issued&quot;:{&quot;date-parts&quot;:[[2020]]},&quot;abstract&quot;:&quot;Purpose: This research will examine the effects of CAR, NPF, FDR, BOPO, and NIM on the performance of Bank Muamalat Indonesia using ROA. Research Methodology: The quantitative method and multiple linear regression analyzes are used in this research, with an analytical technique for the least square equation (OLS). This study used purposeful sampling technique that the use of data from the population represents the entire population, the secondary data was also used in this research, the data used is the financial ratio from The Bank Muamalat Indonesia trimester financial statements from 2009 to 2018. Findings: The research shows that the multiple regressions model shows a 0.731 R square; this means that 5 independent CAR, NPF, FDR, BOPO, and NIM variables are affected by a 73.1 percent ROA. However, another factor of 26.9 percent was influenced factor outside the model. Implications. The result of this study is the recommendation for Muamalat Bank to improve their performance effectiveness and efficiency, and also for available research to contribute for the banking literature. Originality: The bank performance in the assessment study as an explanatory variable can lead to a better understanding of third-party funds management and an important decision-making process for Muamalat Bank management.&quot;,&quot;issue&quot;:&quot;42&quot;,&quot;container-title-short&quot;:&quot;&quot;},&quot;isTemporary&quot;:false}]},{&quot;citationID&quot;:&quot;MENDELEY_CITATION_e0bad228-4e8c-458c-8912-65bad631cfd1&quot;,&quot;properties&quot;:{&quot;noteIndex&quot;:0},&quot;isEdited&quot;:false,&quot;manualOverride&quot;:{&quot;citeprocText&quot;:&quot;(Gunanto et al., 2018)&quot;,&quot;isManuallyOverridden&quot;:true,&quot;manualOverrideText&quot;:&quot;Gunanto et al., 2018)&quot;},&quot;citationTag&quot;:&quot;MENDELEY_CITATION_v3_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&quot;,&quot;citationItems&quot;:[{&quot;id&quot;:&quot;7bd1cebe-17e5-57ea-9f43-f5793623a319&quot;,&quot;itemData&quot;:{&quot;DOI&quot;:&quot;10.29040/jie.v2i02.316&quot;,&quot;ISSN&quot;:&quot;2598-1153&quot;,&quot;abstract&quot;:&quot;This study aims to determine the effect of Financing To Deposit Ratio (FDR), Third Party Funds (TPF) and Return on Assets (ROA) on musyarakah financing on Bank Syariah Mandiri from 2010-2017 both partially and simultaneously. This study uses quantitative data types. The data used uses secondary data obtained from quarterly financial reports. The method used in this study is to use the classic assumption test method where the Classic Assumption test consists of four tests namely Normality test, Multicollinearity test, Heterocedasticity test and Autocorrelation test in addition to using the Classical Assumption test, in this study also uses the test with data analysis from the analysis Multiple linear regression and using t test or partial test and F test or test simultaneously or together. The population in this study is Islamic banking, namely Bank Syariah Mandiri in 2010-2017 as many as 32 taken by purposive sampling. The results showed that the variables that affect Musyarakah financing are variables Financing To Deposit Ratio (FDR) with a P-value of 0,000 where this value is greater than 0.05 and the value of t count is -4.916 where this value is greater than the value of t table namely 2,0484 and Third Party Funds with a P-value of 0,000 where this value is greater than 0.05 and the value of t count is 4,559 is greater than the ttable value of 2,0484 while the variable that has no effect on musyarakah financing is the Return on Asset variable (ROA) with a P-value of 0.428 where this value is greater than 0.05 and tcount is smaller than t table where the value of t count is 0.805 and the value of t table is 2.0484. Simultaneously all variables namely FDR, DPK and ROA jointly influence Musyarakah financing on Bank Syariah Mandiri (BSM) in 2010-2017 with a significance value of 0,000 where the sig value is smaller than 0.05 while the Fcount value is greater than Ftable value where Fcount value is 25,160 while Ftable value is 2,95.\r \r Keywords: Financing To Deposit Ratio (FDR), Third Party Funds (DPK),\r Return on Assets (ROA), musyarakah&quot;,&quot;author&quot;:[{&quot;dropping-particle&quot;:&quot;&quot;,&quot;family&quot;:&quot;Gunanto&quot;,&quot;given&quot;:&quot;Djoko Sigit&quot;,&quot;non-dropping-particle&quot;:&quot;&quot;,&quot;parse-names&quot;:false,&quot;suffix&quot;:&quot;&quot;},{&quot;dropping-particle&quot;:&quot;&quot;,&quot;family&quot;:&quot;Suprihati&quot;,&quot;given&quot;:&quot;Suprihati&quot;,&quot;non-dropping-particle&quot;:&quot;&quot;,&quot;parse-names&quot;:false,&quot;suffix&quot;:&quot;&quot;},{&quot;dropping-particle&quot;:&quot;&quot;,&quot;family&quot;:&quot;Aristi&quot;,&quot;given&quot;:&quot;Firma Windi&quot;,&quot;non-dropping-particle&quot;:&quot;&quot;,&quot;parse-names&quot;:false,&quot;suffix&quot;:&quot;&quot;}],&quot;container-title&quot;:&quot;Jurnal Ilmiah Edunomika&quot;,&quot;id&quot;:&quot;7bd1cebe-17e5-57ea-9f43-f5793623a319&quot;,&quot;issue&quot;:&quot;02&quot;,&quot;issued&quot;:{&quot;date-parts&quot;:[[&quot;2018&quot;]]},&quot;page&quot;:&quot;598-608&quot;,&quot;title&quot;:&quot;Pengaruh Financing To Deposit Ratio (Fdr), Dana Pihak Ketiga (Dpk) Dan Return on Asset (Roa) Terhadap Pembiayaan Musyarakah&quot;,&quot;type&quot;:&quot;article-journal&quot;,&quot;volume&quot;:&quot;2&quot;,&quot;container-title-short&quot;:&quot;&quot;},&quot;uris&quot;:[&quot;http://www.mendeley.com/documents/?uuid=c8fb7d84-577b-42f4-a961-90fa4d46715c&quot;],&quot;isTemporary&quot;:false,&quot;legacyDesktopId&quot;:&quot;c8fb7d84-577b-42f4-a961-90fa4d46715c&quot;}]},{&quot;citationID&quot;:&quot;MENDELEY_CITATION_853156b7-5e07-435a-ae95-ca14c6e142b6&quot;,&quot;properties&quot;:{&quot;noteIndex&quot;:0},&quot;isEdited&quot;:false,&quot;manualOverride&quot;:{&quot;isManuallyOverridden&quot;:false,&quot;citeprocText&quot;:&quot;(Irvan Muhamad Rizky &amp;#38; Azib, 2021)&quot;,&quot;manualOverrideText&quot;:&quot;&quot;},&quot;citationTag&quot;:&quot;MENDELEY_CITATION_v3_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&quot;,&quot;citationItems&quot;:[{&quot;id&quot;:&quot;70c86c5b-3cbb-3eaf-85b6-6af6ed337384&quot;,&quot;itemData&quot;:{&quot;type&quot;:&quot;article-journal&quot;,&quot;id&quot;:&quot;70c86c5b-3cbb-3eaf-85b6-6af6ed337384&quot;,&quot;title&quot;:&quot;Pengaruh Pembiayaan Mudharabah, Murabahah dan Musyarakah terhadap Return On Assets&quot;,&quot;author&quot;:[{&quot;family&quot;:&quot;Irvan Muhamad Rizky&quot;,&quot;given&quot;:&quot;&quot;,&quot;parse-names&quot;:false,&quot;dropping-particle&quot;:&quot;&quot;,&quot;non-dropping-particle&quot;:&quot;&quot;},{&quot;family&quot;:&quot;Azib&quot;,&quot;given&quot;:&quot;&quot;,&quot;parse-names&quot;:false,&quot;dropping-particle&quot;:&quot;&quot;,&quot;non-dropping-particle&quot;:&quot;&quot;}],&quot;container-title&quot;:&quot;Jurnal Riset Manajemen dan Bisnis&quot;,&quot;DOI&quot;:&quot;10.29313/jrmb.v1i1.35&quot;,&quot;issued&quot;:{&quot;date-parts&quot;:[[2021,7,10]]},&quot;page&quot;:&quot;16-24&quot;,&quot;abstract&quot;:&quot;Abstract. Mudharabah, Murabahah and Musyarakah Against ROA on Sharia Purchases listed on the Indonesia Stock Exchange. The data in this study are quarterly financial statements at Bank Rakyat Indonesia Syariah with a purposive sampling technique and obtained research samples of 6 samples of 30 data. For the dependent variable (Y) of this study is Return On Assets (ROA). For independent variables (X) published: Murabahah, Mudharabah, and Musyarakah. The method used is a quantitative research method. For the data source is secondary data using SPSS 20.0 data processing analysis. Based on the results of multiple regression analysis, the results of this study indicate that Murabahah and Mudharabah have a positive and significant effect on Return On Assets (ROA), Musyarakah have a negative and significant effect on Return On Assets (ROA), and Inflation does not play a role on Return On Assets (ROA).\r Abstrak. Penelitian ini bertujuan untuk mengetahui apakah, Mudharabah, Murabahah dan Musyarakah Terhadap ROA pada Perbankan Syariah yang terdaftar di Bursa Efek Indonesia. Data dalam penelitian ini adalah laporan keuangan triwulan pada Bank Rakyat Indonesia Syariah dengan teknik purposive sampling dan diperoleh sampel penelitian sebanyak 6 sampel 30 data. Untuk variabel dependen (Y) dari penelitian ini adalah Return On Asset (ROA). Untuk variabel independen (X) meliputi: Murabahah, Mudharabah, dan Musyarakah. Metode yang digunakan adalah metode penelitian kuantitatif. Untuk sumber data adalah data sekunder dengan menggunakan analisis pengolahan data SPSS 20.0. Berdasarkan hasil analisis regresi berganda, maka hasil penelitian ini menunjukkan bahwa Murabahah dan Mudharabah berpengaruh positif dan signifikan terhadap Return On Asset (ROA), Musyarakah berpengaruh negatif dan signifikan terhadap Return On Asset (ROA), dan Inflasi tidak berpengaruh terhadap Return On Asset (ROA).&quot;,&quot;publisher&quot;:&quot;Universitas Islam Bandung (Unisba)&quot;,&quot;issue&quot;:&quot;1&quot;,&quot;volume&quot;:&quot;1&quot;,&quot;container-title-short&quot;:&quot;&quot;},&quot;isTemporary&quot;:false}]},{&quot;citationID&quot;:&quot;MENDELEY_CITATION_04bbd760-94a9-4df5-9088-15b739233ce3&quot;,&quot;properties&quot;:{&quot;noteIndex&quot;:0},&quot;isEdited&quot;:false,&quot;manualOverride&quot;:{&quot;isManuallyOverridden&quot;:false,&quot;citeprocText&quot;:&quot;(Fauzan, 2015)&quot;,&quot;manualOverrideText&quot;:&quot;&quot;},&quot;citationTag&quot;:&quot;MENDELEY_CITATION_v3_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&quot;,&quot;citationItems&quot;:[{&quot;id&quot;:&quot;b01c67e1-fc96-329a-98f0-73e0bd4e2952&quot;,&quot;itemData&quot;:{&quot;type&quot;:&quot;report&quot;,&quot;id&quot;:&quot;b01c67e1-fc96-329a-98f0-73e0bd4e2952&quot;,&quot;title&quot;:&quot;THE EFFECT OF MURABAHAH, MUDHARABAH AND MUSYARAK FINANCING ON THE PROFITABILITY OF SHARIA COMMERCIAL BANKS (Study on Sharia Commercial Banks in Indonesia 2015-2019)&quot;,&quot;author&quot;:[{&quot;family&quot;:&quot;Fauzan&quot;,&quot;given&quot;:&quot;Shalahuddin&quot;,&quot;parse-names&quot;:false,&quot;dropping-particle&quot;:&quot;&quot;,&quot;non-dropping-particle&quot;:&quot;&quot;}],&quot;issued&quot;:{&quot;date-parts&quot;:[[2015]]},&quot;container-title-short&quot;:&quot;&quot;},&quot;isTemporary&quot;:false}]},{&quot;citationID&quot;:&quot;MENDELEY_CITATION_c72090c3-aaac-463c-a798-69c5048929ab&quot;,&quot;properties&quot;:{&quot;noteIndex&quot;:0},&quot;isEdited&quot;:false,&quot;manualOverride&quot;:{&quot;isManuallyOverridden&quot;:false,&quot;citeprocText&quot;:&quot;(Sandhi Pradana &amp;#38; Erdkhadifa, 2023)&quot;,&quot;manualOverrideText&quot;:&quot;&quot;},&quot;citationTag&quot;:&quot;MENDELEY_CITATION_v3_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&quot;,&quot;citationItems&quot;:[{&quot;id&quot;:&quot;5d2f5841-254c-3b0f-9dc2-123dcb576da2&quot;,&quot;itemData&quot;:{&quot;type&quot;:&quot;article-journal&quot;,&quot;id&quot;:&quot;5d2f5841-254c-3b0f-9dc2-123dcb576da2&quot;,&quot;title&quot;:&quot;ANALISIS PENGARUH PRODUK PEMBIAYAAN DAN RISIKO\nTERHADAP PROFITABILITAS BANK UMUM SYARIAH PERIODE\n2014-2021&quot;,&quot;author&quot;:[{&quot;family&quot;:&quot;Sandhi Pradana&quot;,&quot;given&quot;:&quot;Arnandho&quot;,&quot;parse-names&quot;:false,&quot;dropping-particle&quot;:&quot;&quot;,&quot;non-dropping-particle&quot;:&quot;&quot;},{&quot;family&quot;:&quot;Erdkhadifa&quot;,&quot;given&quot;:&quot;Rendra&quot;,&quot;parse-names&quot;:false,&quot;dropping-particle&quot;:&quot;&quot;,&quot;non-dropping-particle&quot;:&quot;&quot;}],&quot;container-title&quot;:&quot;|Sosebi&quot;,&quot;DOI&quot;:&quot;10.21274&quot;,&quot;issued&quot;:{&quot;date-parts&quot;:[[2023]]},&quot;page&quot;:&quot;2808-7089&quot;,&quot;abstract&quot;:&quot;This study aims to examine the impact of mudharabah, musyarakah, murabahah financing, credit risk and liquidity risk on the profitability of Islamic Commercial Banks for the 2014-2021 Period. Profitability is an important pert for every company, one of which is banking. Because the existence of good profitability will certainly have an impact and be a guarantee for the survival of a company. Data is obtained by accessing financial reports and quartely reports through the website of each Islamic Commercial Bank. The population of this study is 14 Islamic Commercial Banks registered at Bank Indonesia. As well as obtaining a sample of 1, namely Bank Muamalat Syariah. During the analysis, the researcher used multiple linear regression and SPSS statistical instrument software. Obtained result of observations and data&quot;,&quot;issue&quot;:&quot;1&quot;,&quot;volume&quot;:&quot;38&quot;,&quot;container-title-short&quot;:&quot;&quot;},&quot;isTemporary&quot;:false}]},{&quot;citationID&quot;:&quot;MENDELEY_CITATION_c5639b28-1a26-49d9-beb2-59b19546fcf0&quot;,&quot;properties&quot;:{&quot;noteIndex&quot;:0},&quot;isEdited&quot;:false,&quot;manualOverride&quot;:{&quot;isManuallyOverridden&quot;:false,&quot;citeprocText&quot;:&quot;(Amajida shabati, 2020)&quot;,&quot;manualOverrideText&quot;:&quot;&quot;},&quot;citationTag&quot;:&quot;MENDELEY_CITATION_v3_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&quot;,&quot;citationItems&quot;:[{&quot;id&quot;:&quot;88080b04-b504-37ee-aa59-2a832821edf1&quot;,&quot;itemData&quot;:{&quot;type&quot;:&quot;article-journal&quot;,&quot;id&quot;:&quot;88080b04-b504-37ee-aa59-2a832821edf1&quot;,&quot;title&quot;:&quot;PENGARUH DPK, MUDHARABAH, MUSYARAKAH DAN NPF\nTERHADAP PROFITABILITAS (ROA) BANK UMUM SYARIAH&quot;,&quot;author&quot;:[{&quot;family&quot;:&quot;Amajida shabati&quot;,&quot;given&quot;:&quot;&quot;,&quot;parse-names&quot;:false,&quot;dropping-particle&quot;:&quot;&quot;,&quot;non-dropping-particle&quot;:&quot;&quot;}],&quot;container-title&quot;:&quot;Prosiding KONFERENSI ILMIAH MAHASISWA UNISSULA (KIMU) 3&quot;,&quot;ISSN&quot;:&quot;2720-9687&quot;,&quot;issued&quot;:{&quot;date-parts&quot;:[[2020]]},&quot;container-title-short&quot;:&quot;&quot;},&quot;isTemporary&quot;:false}]},{&quot;citationID&quot;:&quot;MENDELEY_CITATION_5cdaabcc-0794-4c37-aa6d-cb995874e136&quot;,&quot;properties&quot;:{&quot;noteIndex&quot;:0},&quot;isEdited&quot;:false,&quot;manualOverride&quot;:{&quot;isManuallyOverridden&quot;:false,&quot;citeprocText&quot;:&quot;(Siti Fatimah &amp;#38; Diana, 2020)&quot;,&quot;manualOverrideText&quot;:&quot;&quot;},&quot;citationTag&quot;:&quot;MENDELEY_CITATION_v3_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&quot;,&quot;citationItems&quot;:[{&quot;id&quot;:&quot;19a2103a-80b4-30d6-a0b8-a369f5dc914b&quot;,&quot;itemData&quot;:{&quot;type&quot;:&quot;article-journal&quot;,&quot;id&quot;:&quot;19a2103a-80b4-30d6-a0b8-a369f5dc914b&quot;,&quot;title&quot;:&quot;Pembiayaan Mudharabah, Musyarakah Dan Non Performing Financing Terhadap Return On Asset Pada Bank Umum Syariah&quot;,&quot;author&quot;:[{&quot;family&quot;:&quot;Siti Fatimah&quot;,&quot;given&quot;:&quot;Imeh&quot;,&quot;parse-names&quot;:false,&quot;dropping-particle&quot;:&quot;&quot;,&quot;non-dropping-particle&quot;:&quot;&quot;},{&quot;family&quot;:&quot;Diana&quot;,&quot;given&quot;:&quot;Nana&quot;,&quot;parse-names&quot;:false,&quot;dropping-particle&quot;:&quot;&quot;,&quot;non-dropping-particle&quot;:&quot;&quot;}],&quot;container-title&quot;:&quot;JAK (Jurnal Akuntansi) Kajian Ilmiah Akuntansi&quot;,&quot;DOI&quot;:&quot;10.30656/jak.v8i1.2402&quot;,&quot;ISSN&quot;:&quot;2339-2436&quot;,&quot;issued&quot;:{&quot;date-parts&quot;:[[2020,12,28]]},&quot;page&quot;:&quot;62-75&quot;,&quot;abstract&quot;:&quot;Penelitian ini bertujuan untuk mengetahui hubungan antara pembiayaan mudharabah, musyarakah dan NPF terhadap ROA pada Bank Umum Syariah yang terdaftar di Bank Indonesia periode 2011-2018. Metode yang digunakan adalah deskriptif verifikatif dengan pendekatan kuantitatif yaitu melalui uji asumsi klasik, analisis regresi linier berganda, dan uji hipotesis menggunakan uji-T, uji-F dan uji koefisien determinasi (R2). Pengujian data diproses dengan menggunakan perangkat lunak SPSS 22. Sedangkan data yang digunakan adalah data sekunder dengan tipe data kuantitatif. Populasi penelitian ini berjumlah 14 Bank Umum Syariah dengan metode pengambilan sampel yaitu purposive sampling, sehingga jumlah pengamatan yang diperoleh yaitu 4 Bank Umum Syariah. Berdasarkan hasil uji-T, pembiayaan mudharabah berpengaruh positif terhadap ROA. Pembiayaan musyarakah berpengaruh negatif terhadap ROA, dan NPF berpengaruh negatif terhadap ROA. Secara simultan variabel independen berpengaruh terhadap variabel dependen. Sedangkan dari hasil R2 menunjukkan bahwa ROA dipengaruhi oleh pembiayaan mudharabah, musyarakah dan NPF sebanyak 52,3 % dan sisanya 47,7% dipengaruhi oleh variabel lain di luar penelitian.&quot;,&quot;publisher&quot;:&quot;Universitas Serang Raya&quot;,&quot;issue&quot;:&quot;1&quot;,&quot;volume&quot;:&quot;8&quot;,&quot;container-title-short&quot;:&quot;&quot;},&quot;isTemporary&quot;:false}]},{&quot;citationID&quot;:&quot;MENDELEY_CITATION_7a6a7ef4-95a0-4b16-b052-e5c17c4110fd&quot;,&quot;properties&quot;:{&quot;noteIndex&quot;:0},&quot;isEdited&quot;:false,&quot;manualOverride&quot;:{&quot;isManuallyOverridden&quot;:false,&quot;citeprocText&quot;:&quot;(Hayady&lt;sup&gt;1&lt;/sup&gt; et al., 2023)&quot;,&quot;manualOverrideText&quot;:&quot;&quot;},&quot;citationTag&quot;:&quot;MENDELEY_CITATION_v3_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&quot;,&quot;citationItems&quot;:[{&quot;id&quot;:&quot;9e5ccb42-0100-3a7b-9e28-f818620dced5&quot;,&quot;itemData&quot;:{&quot;type&quot;:&quot;article-journal&quot;,&quot;id&quot;:&quot;9e5ccb42-0100-3a7b-9e28-f818620dced5&quot;,&quot;title&quot;:&quot;THE EFFECT OF THIRD PARTY FUNDS, INFLATION AND MARGIN RATE ON MURABAHAH FINANCING AT ISLAMIC BANK&quot;,&quot;author&quot;:[{&quot;family&quot;:&quot;Hayady¹&quot;,&quot;given&quot;:&quot;Roza&quot;,&quot;parse-names&quot;:false,&quot;dropping-particle&quot;:&quot;&quot;,&quot;non-dropping-particle&quot;:&quot;&quot;},{&quot;family&quot;:&quot;Anggraini&quot;,&quot;given&quot;:&quot;Tuti&quot;,&quot;parse-names&quot;:false,&quot;dropping-particle&quot;:&quot;&quot;,&quot;non-dropping-particle&quot;:&quot;&quot;},{&quot;family&quot;:&quot;Daulay&quot;,&quot;given&quot;:&quot;Aqwa Naser&quot;,&quot;parse-names&quot;:false,&quot;dropping-particle&quot;:&quot;&quot;,&quot;non-dropping-particle&quot;:&quot;&quot;}],&quot;container-title&quot;:&quot;Jurnal Tabarru'&quot;,&quot;ISSN&quot;:&quot;2621-7465&quot;,&quot;issued&quot;:{&quot;date-parts&quot;:[[2023]]},&quot;container-title-short&quot;:&quot;&quot;},&quot;isTemporary&quot;:false}]},{&quot;citationID&quot;:&quot;MENDELEY_CITATION_0f68edf9-5b23-443c-9a36-d44f62e1877a&quot;,&quot;properties&quot;:{&quot;noteIndex&quot;:0},&quot;isEdited&quot;:false,&quot;manualOverride&quot;:{&quot;isManuallyOverridden&quot;:false,&quot;citeprocText&quot;:&quot;(Nurdiansyah Dian Hakib, 2020)&quot;,&quot;manualOverrideText&quot;:&quot;&quot;},&quot;citationTag&quot;:&quot;MENDELEY_CITATION_v3_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&quot;,&quot;citationItems&quot;:[{&quot;id&quot;:&quot;b763fd38-339e-3c85-8f25-c40726b48277&quot;,&quot;itemData&quot;:{&quot;type&quot;:&quot;article-journal&quot;,&quot;id&quot;:&quot;b763fd38-339e-3c85-8f25-c40726b48277&quot;,&quot;title&quot;:&quot;The Third Party Funds and Non Performing Financing Rate on Murabahah DIAN HAKIP NURDIANSYAH, 2 MUHAMMAD NASIM HARAHAP, 3 NURUL KHOTIMAH 123&quot;,&quot;author&quot;:[{&quot;family&quot;:&quot;Nurdiansyah Dian Hakib&quot;,&quot;given&quot;:&quot;&quot;,&quot;parse-names&quot;:false,&quot;dropping-particle&quot;:&quot;&quot;,&quot;non-dropping-particle&quot;:&quot;&quot;}],&quot;container-title&quot;:&quot;MIMBAR&quot;,&quot;DOI&quot;:&quot;10.29313/mimbar.v36i1&quot;,&quot;URL&quot;:&quot;https://doi.org/10.29313/mimbar.v36i1.5665&quot;,&quot;issued&quot;:{&quot;date-parts&quot;:[[2020]]},&quot;page&quot;:&quot;209-218&quot;,&quot;abstract&quot;:&quot;The function of Islamic Bank is a financial institution that conducts business activities based on the principles of Islamic Law and operational activities carried out through collecting funds from the public in the form of savings, current accounts, and deposits that will be disbursed by the bank to the public in the form of financing. The large funds raised by the bank will increase financial disbursed. The purpose of this research is to find out about Third Parties Fund, Non Performing Financing and Murabahah in PT Bank Syariah Mandiri and to analyze and explain them partially and simultaneously. Research method used is descriptive quantitative with data obtained from the quarterly financial statement of PT Bank Syariah Mandiri. The results show that Third Parties Fund, Non Performing Financing, and Murabahah continue to fluctuate. Meanwhile, the research hypothesis test shows that the variable of Third Parties Fund has a significant effect on Murabahah, while variable of Non Performing Financing has no significant effect on Murabahah.&quot;,&quot;issue&quot;:&quot;1&quot;,&quot;volume&quot;:&quot;36&quot;,&quot;container-title-short&quot;:&quot;&quot;},&quot;isTemporary&quot;:false}]},{&quot;citationID&quot;:&quot;MENDELEY_CITATION_29603b43-41e6-4e95-a45b-726de7587dfb&quot;,&quot;properties&quot;:{&quot;noteIndex&quot;:0},&quot;isEdited&quot;:false,&quot;manualOverride&quot;:{&quot;isManuallyOverridden&quot;:true,&quot;citeprocText&quot;:&quot;(Azwari &amp;#38; Jayanti, 2022a)&quot;,&quot;manualOverrideText&quot;:&quot;(Azwari &amp; Jayanti, 2022)&quot;},&quot;citationTag&quot;:&quot;MENDELEY_CITATION_v3_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&quot;,&quot;citationItems&quot;:[{&quot;id&quot;:&quot;7f82d878-2afd-3ea3-9b94-ec0f6df1076a&quot;,&quot;itemData&quot;:{&quot;type&quot;:&quot;article-journal&quot;,&quot;id&quot;:&quot;7f82d878-2afd-3ea3-9b94-ec0f6df1076a&quot;,&quot;title&quot;:&quot;Impact of Third-Party Funds and Capital Adequacy Ratio on Profit Shar-ing Financing&quot;,&quot;author&quot;:[{&quot;family&quot;:&quot;Azwari&quot;,&quot;given&quot;:&quot;Peny Cahaya&quot;,&quot;parse-names&quot;:false,&quot;dropping-particle&quot;:&quot;&quot;,&quot;non-dropping-particle&quot;:&quot;&quot;},{&quot;family&quot;:&quot;Jayanti&quot;,&quot;given&quot;:&quot;Delasmi&quot;,&quot;parse-names&quot;:false,&quot;dropping-particle&quot;:&quot;&quot;,&quot;non-dropping-particle&quot;:&quot;&quot;}],&quot;container-title&quot;:&quot;International Business and Accounting Research Journal&quot;,&quot;DOI&quot;:&quot;10.35474/ibarj.v6i1.236&quot;,&quot;URL&quot;:&quot;http://journal.stebilampung.ac.id/index.php/ibarj&quot;,&quot;issued&quot;:{&quot;date-parts&quot;:[[2022]]},&quot;page&quot;:&quot;63-70&quot;,&quot;abstract&quot;:&quot;___________________________________________________________________&quot;,&quot;issue&quot;:&quot;1&quot;,&quot;volume&quot;:&quot;6&quot;,&quot;container-title-short&quot;:&quot;&quot;},&quot;isTemporary&quot;:false}]},{&quot;citationID&quot;:&quot;MENDELEY_CITATION_003643bf-4abc-41ed-8b9b-bba0366277fd&quot;,&quot;properties&quot;:{&quot;noteIndex&quot;:0},&quot;isEdited&quot;:false,&quot;manualOverride&quot;:{&quot;isManuallyOverridden&quot;:false,&quot;citeprocText&quot;:&quot;(Suarmanayasa, 2020)&quot;,&quot;manualOverrideText&quot;:&quot;&quot;},&quot;citationTag&quot;:&quot;MENDELEY_CITATION_v3_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&quot;,&quot;citationItems&quot;:[{&quot;id&quot;:&quot;0e46a58f-0a7d-338e-bc35-7e0c900b7a04&quot;,&quot;itemData&quot;:{&quot;type&quot;:&quot;article-journal&quot;,&quot;id&quot;:&quot;0e46a58f-0a7d-338e-bc35-7e0c900b7a04&quot;,&quot;title&quot;:&quot;PENGARUH DANA PIHAK KETIGA, MODAL BANK, BUNGA KREDIT, BUNGA SBI DAN KREDIT PERIODE SEBELUMNYA TERHADAP KREDIT YANG DIBERIKAN BANK UMUM&quot;,&quot;author&quot;:[{&quot;family&quot;:&quot;Suarmanayasa&quot;,&quot;given&quot;:&quot;I N&quot;,&quot;parse-names&quot;:false,&quot;dropping-particle&quot;:&quot;&quot;,&quot;non-dropping-particle&quot;:&quot;&quot;}],&quot;container-title&quot;:&quot;Bisma: Jurnal Manajemen&quot;,&quot;ISSN&quot;:&quot;2476-8782&quot;,&quot;issued&quot;:{&quot;date-parts&quot;:[[2020]]},&quot;abstract&quot;:&quot;Abstrak Tujuan penelitian ini adalah untuk menganalisis dan menguji pengaruh dana pihak ketiga, modal bank, bunga kredit modal kerja, bunga SBI dan kredit periode sebelumnya baik secara simultan maupun parsial terhadap jumlah kredit yang diberikan bank umum di Indonesia. Penelitian ini menggunakan data dalam bentuk data triwulanan yang diperoleh dari Badan Pusat Statistik Provinsi Bali. Metode pengumpulan data yang dipergunakan adalah metode dokumentasi, selanjutnya dilakukan analisis data dengan model regresi linear berganda. Adapun hasil penelitian ini adalah 1) dana pihak ketiga, modal bank, bunga kredit modal kerja, bunga SBI dan kredit periode sebelumnya secara simultan berpengaruh signifikan terhadap jumlah kredit yang diberikan; 2) dana pihak ketiga dan jumlah kredit periode sebelumnya secara parsial berpengaruh positif dan signifikan terhadap jumlah kredit yang diberikan, 3) bunga SBI secara parsial berpengaruh negatif dan signifikan terhadap jumlah kredit yang diberikan; 4) Modal bank dan bunga kredit modal kerja tidak berpengaruh terhadap jumlah kredit yang diberikan bank umum di Indonesia. Kata kunci : kredit bank umum, modal bank, bunga kredit. Abstract The purpose of this study was to analyze and test the effect of third party funds, bank capital, working capital loan interest, SBI interest and previous period loans both simultaneously and partially on the amount of credit provided by commercial banks in Indonesia. This study uses data in the form of quarterly data obtained from the Central Statistics Agency of Bali Province. The data collection method used is the documentation method, then the data analysis is performed using multiple linear regression models. The results of this study are 1) third party funds, bank capital, working capital loan interest, SBI interest and previous period loans simultaneously have a significant effect on the number of loans granted; 2) third party funds and previous period credit amounts partially have a positive and significant effect on the amount of credit given, 3) SBI interest has a partially negative and significant effect on the number of loans granted; 4) Bank capital and working capital credit interest does not affect the amount of credit given by commercial banks in Indonesia.&quot;,&quot;issue&quot;:&quot;1&quot;,&quot;volume&quot;:&quot;6&quot;,&quot;container-title-short&quot;:&quot;&quot;},&quot;isTemporary&quot;:false}]},{&quot;citationID&quot;:&quot;MENDELEY_CITATION_46891373-495c-4b49-92b3-c8ec3ce917a9&quot;,&quot;properties&quot;:{&quot;noteIndex&quot;:0},&quot;isEdited&quot;:false,&quot;manualOverride&quot;:{&quot;isManuallyOverridden&quot;:false,&quot;citeprocText&quot;:&quot;(Rais et al., 2023)&quot;,&quot;manualOverrideText&quot;:&quot;&quot;},&quot;citationTag&quot;:&quot;MENDELEY_CITATION_v3_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&quot;,&quot;citationItems&quot;:[{&quot;id&quot;:&quot;ec18a2ad-7da0-3fac-9cf4-4d37fac66934&quot;,&quot;itemData&quot;:{&quot;type&quot;:&quot;article-journal&quot;,&quot;id&quot;:&quot;ec18a2ad-7da0-3fac-9cf4-4d37fac66934&quot;,&quot;title&quot;:&quot;Pengaruh Dana Pihak Ketiga, Capital Adequecy Ratio dan Non Performing Financing terhadap Profitabilitas Perusahaan dengan Pembiayaan Sebagai Variabel Intervening pada perbankan Syari'ah (Suatu Kajian Studi Literatur Manajemen Keuangan Perusahan)&quot;,&quot;author&quot;:[{&quot;family&quot;:&quot;Rais&quot;,&quot;given&quot;:&quot;Mohamad&quot;,&quot;parse-names&quot;:false,&quot;dropping-particle&quot;:&quot;&quot;,&quot;non-dropping-particle&quot;:&quot;&quot;},{&quot;family&quot;:&quot;Manafe&quot;,&quot;given&quot;:&quot;Henny A&quot;,&quot;parse-names&quot;:false,&quot;dropping-particle&quot;:&quot;&quot;,&quot;non-dropping-particle&quot;:&quot;&quot;},{&quot;family&quot;:&quot;Man&quot;,&quot;given&quot;:&quot;Stanis&quot;,&quot;parse-names&quot;:false,&quot;dropping-particle&quot;:&quot;&quot;,&quot;non-dropping-particle&quot;:&quot;&quot;}],&quot;container-title&quot;:&quot;Ilmu Manajemen Terapan&quot;,&quot;DOI&quot;:&quot;10.31933/jimt.v4i5&quot;,&quot;URL&quot;:&quot;https://creativecommons.org/licenses/by/4.0/&quot;,&quot;issued&quot;:{&quot;date-parts&quot;:[[2023]]},&quot;abstract&quot;:&quot;The researcher writes this scientific paper so that he can set hypotheses that affect each variable to provide benefits for further writing. Through this writing, the researchers obtained the following results: 1) DPK had a positive and significant impact on financing; 2) CAR has a positive and significant impact on financing; 3) NPF has a positive impact and is quite important for financing; 4) Deposits have a positive and significant impact on Profitability; 5) CAR has a positive impact and is quite important to Profitability; 6) NPF has a positive impact and is quite important to Profitability; 7) Financing has a positive and quite important impact on Profitability; 8) DPK has a positive and quite important impact on Profitability through financing mediation; 9) CAR has a positive and significant impact on Profitability through financing mediation; 10) NPF has a positive impact and is quite important to Profitability mediated by financing.&quot;,&quot;container-title-short&quot;:&quot;&quot;},&quot;isTemporary&quot;:false}]},{&quot;citationID&quot;:&quot;MENDELEY_CITATION_b5a27cae-4031-45dc-bf2e-de55b109590b&quot;,&quot;properties&quot;:{&quot;noteIndex&quot;:0},&quot;isEdited&quot;:false,&quot;manualOverride&quot;:{&quot;isManuallyOverridden&quot;:false,&quot;citeprocText&quot;:&quot;(Maski Ghozali, 2010)&quot;,&quot;manualOverrideText&quot;:&quot;&quot;},&quot;citationTag&quot;:&quot;MENDELEY_CITATION_v3_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&quot;,&quot;citationItems&quot;:[{&quot;id&quot;:&quot;7945f2ae-b2a5-30a3-b3e1-701553b0bc9a&quot;,&quot;itemData&quot;:{&quot;type&quot;:&quot;report&quot;,&quot;id&quot;:&quot;7945f2ae-b2a5-30a3-b3e1-701553b0bc9a&quot;,&quot;title&quot;:&quot;Analisis Keputusan Nasabah Menabung : Pendekatan Komponen dan ModelLogistik Studi pada Bank Syariah di Malang&quot;,&quot;author&quot;:[{&quot;family&quot;:&quot;Maski Ghozali&quot;,&quot;given&quot;:&quot;&quot;,&quot;parse-names&quot;:false,&quot;dropping-particle&quot;:&quot;&quot;,&quot;non-dropping-particle&quot;:&quot;&quot;}],&quot;issued&quot;:{&quot;date-parts&quot;:[[2010]]},&quot;number-of-pages&quot;:&quot;43-57&quot;,&quot;container-title-short&quot;:&quot;&quot;},&quot;isTemporary&quot;:false}]},{&quot;citationID&quot;:&quot;MENDELEY_CITATION_fa55402b-221e-4b67-b9c0-bd80940a02fd&quot;,&quot;properties&quot;:{&quot;noteIndex&quot;:0},&quot;isEdited&quot;:false,&quot;manualOverride&quot;:{&quot;isManuallyOverridden&quot;:false,&quot;citeprocText&quot;:&quot;(Maski Ghozali, 2010)&quot;,&quot;manualOverrideText&quot;:&quot;&quot;},&quot;citationTag&quot;:&quot;MENDELEY_CITATION_v3_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&quot;,&quot;citationItems&quot;:[{&quot;id&quot;:&quot;7945f2ae-b2a5-30a3-b3e1-701553b0bc9a&quot;,&quot;itemData&quot;:{&quot;type&quot;:&quot;report&quot;,&quot;id&quot;:&quot;7945f2ae-b2a5-30a3-b3e1-701553b0bc9a&quot;,&quot;title&quot;:&quot;Analisis Keputusan Nasabah Menabung : Pendekatan Komponen dan ModelLogistik Studi pada Bank Syariah di Malang&quot;,&quot;author&quot;:[{&quot;family&quot;:&quot;Maski Ghozali&quot;,&quot;given&quot;:&quot;&quot;,&quot;parse-names&quot;:false,&quot;dropping-particle&quot;:&quot;&quot;,&quot;non-dropping-particle&quot;:&quot;&quot;}],&quot;issued&quot;:{&quot;date-parts&quot;:[[2010]]},&quot;number-of-pages&quot;:&quot;43-57&quot;,&quot;container-title-short&quot;:&quot;&quot;},&quot;isTemporary&quot;:false}]},{&quot;citationID&quot;:&quot;MENDELEY_CITATION_f3d03486-419e-4575-b9d4-11a58db571c9&quot;,&quot;properties&quot;:{&quot;noteIndex&quot;:0},&quot;isEdited&quot;:false,&quot;manualOverride&quot;:{&quot;isManuallyOverridden&quot;:false,&quot;citeprocText&quot;:&quot;(Sahli et al., 2023)&quot;,&quot;manualOverrideText&quot;:&quot;&quot;},&quot;citationTag&quot;:&quot;MENDELEY_CITATION_v3_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&quot;,&quot;citationItems&quot;:[{&quot;id&quot;:&quot;73977bda-2b44-3db0-9b7d-841dd81e9bcf&quot;,&quot;itemData&quot;:{&quot;type&quot;:&quot;report&quot;,&quot;id&quot;:&quot;73977bda-2b44-3db0-9b7d-841dd81e9bcf&quot;,&quot;title&quot;:&quot;THE INFLUENCE OF THIRD PARTY FUNDS, NON-PERFORMINGFINANCING AND PROFIT SHARING ON FINANCING DISBURSEMENT (CASE STUDY AT BANK ACEH SYARIAH) THE INFLUENCE OF THIRD PARTY FUNDS, NON-PERFORMING FINANCING AND PROFIT SHARING ON FINANCING DISBURSEMENT (CASE STUDY AT BANK ACEH SYARIAH)&quot;,&quot;author&quot;:[{&quot;family&quot;:&quot;Sahli&quot;,&quot;given&quot;:&quot;Argun&quot;,&quot;parse-names&quot;:false,&quot;dropping-particle&quot;:&quot;&quot;,&quot;non-dropping-particle&quot;:&quot;&quot;},{&quot;family&quot;:&quot;Nur Ilham&quot;,&quot;given&quot;:&quot;Rico&quot;,&quot;parse-names&quot;:false,&quot;dropping-particle&quot;:&quot;&quot;,&quot;non-dropping-particle&quot;:&quot;&quot;},{&quot;family&quot;:&quot;Muchtar&quot;,&quot;given&quot;:&quot;Darmawati&quot;,&quot;parse-names&quot;:false,&quot;dropping-particle&quot;:&quot;&quot;,&quot;non-dropping-particle&quot;:&quot;&quot;}],&quot;URL&quot;:&quot;www.ojk.go.id&quot;,&quot;issued&quot;:{&quot;date-parts&quot;:[[2023]]},&quot;abstract&quot;:&quot;This study aims to analyze the effect of third party funds, non-performing financing and profit sharing on the distribution of financing at PT. Aceh Syariah Bank. Where in this study the distribution of financing is seen from murabahah receivables + profit sharing financing + leasing financing. This study uses a quantitative method with the Autoregressive Distributed Lag (ARDL) approach. This study uses time series data or time series data where this research was conducted during the period 2017 to 2021. The results of this study indicate that third party funds in the short term have no effect on the distribution of non-performing financing in the short term, have a negative and significant effect on distribution of profit-sharing financing in the short term has a positive and significant effect on financing distribution.&quot;,&quot;issue&quot;:&quot;4&quot;,&quot;volume&quot;:&quot;1&quot;,&quot;container-title-short&quot;:&quot;&quot;},&quot;isTemporary&quot;:false}]},{&quot;citationID&quot;:&quot;MENDELEY_CITATION_82040de4-18c2-43c4-8e9e-17b6f68283db&quot;,&quot;properties&quot;:{&quot;noteIndex&quot;:0},&quot;isEdited&quot;:false,&quot;manualOverride&quot;:{&quot;isManuallyOverridden&quot;:false,&quot;citeprocText&quot;:&quot;(Sigit Gunanto, 2018)&quot;,&quot;manualOverrideText&quot;:&quot;&quot;},&quot;citationTag&quot;:&quot;MENDELEY_CITATION_v3_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&quot;,&quot;citationItems&quot;:[{&quot;id&quot;:&quot;1da04601-efca-3f50-a0e8-ef7d77ae6949&quot;,&quot;itemData&quot;:{&quot;type&quot;:&quot;article-journal&quot;,&quot;id&quot;:&quot;1da04601-efca-3f50-a0e8-ef7d77ae6949&quot;,&quot;title&quot;:&quot;Pengaruh Fdr, DPK dan ROA terhadap pembiayaan Musyarakah&quot;,&quot;author&quot;:[{&quot;family&quot;:&quot;Sigit Gunanto&quot;,&quot;given&quot;:&quot;Djoko&quot;,&quot;parse-names&quot;:false,&quot;dropping-particle&quot;:&quot;&quot;,&quot;non-dropping-particle&quot;:&quot;&quot;}],&quot;container-title&quot;:&quot;Edunomika&quot;,&quot;issued&quot;:{&quot;date-parts&quot;:[[2018,8]]},&quot;volume&quot;:&quot;02&quot;,&quot;container-title-short&quot;:&quot;&quot;},&quot;isTemporary&quot;:false}]},{&quot;citationID&quot;:&quot;MENDELEY_CITATION_6264b1b6-08bc-4b98-943c-afc54516e724&quot;,&quot;properties&quot;:{&quot;noteIndex&quot;:0},&quot;isEdited&quot;:false,&quot;manualOverride&quot;:{&quot;isManuallyOverridden&quot;:false,&quot;citeprocText&quot;:&quot;(Anwar, 2017)&quot;,&quot;manualOverrideText&quot;:&quot;&quot;},&quot;citationTag&quot;:&quot;MENDELEY_CITATION_v3_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&quot;,&quot;citationItems&quot;:[{&quot;id&quot;:&quot;dc5c0fc0-2428-3cbd-9864-305a7c6c2b69&quot;,&quot;itemData&quot;:{&quot;type&quot;:&quot;report&quot;,&quot;id&quot;:&quot;dc5c0fc0-2428-3cbd-9864-305a7c6c2b69&quot;,&quot;title&quot;:&quot;Pengaruh Dana Pihak Ketiga (DPK), Capital Adequacy Ratio (CAR), Return On Asset (ROA) Terahadap Pembiayaan Mudharabah Pada Bank Umum Syariah&quot;,&quot;author&quot;:[{&quot;family&quot;:&quot;Anwar&quot;,&quot;given&quot;:&quot;Chairul, Miqdad Muhammad&quot;,&quot;parse-names&quot;:false,&quot;dropping-particle&quot;:&quot;&quot;,&quot;non-dropping-particle&quot;:&quot;&quot;}],&quot;issued&quot;:{&quot;date-parts&quot;:[[2017]]},&quot;container-title-short&quot;:&quot;&quot;},&quot;isTemporary&quot;:false}]},{&quot;citationID&quot;:&quot;MENDELEY_CITATION_132522b5-bfd1-4ab8-a92b-38ad5d59ed6a&quot;,&quot;properties&quot;:{&quot;noteIndex&quot;:0},&quot;isEdited&quot;:false,&quot;manualOverride&quot;:{&quot;isManuallyOverridden&quot;:false,&quot;citeprocText&quot;:&quot;(Febriyanti, 2020)&quot;,&quot;manualOverrideText&quot;:&quot;&quot;},&quot;citationTag&quot;:&quot;MENDELEY_CITATION_v3_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&quot;,&quot;citationItems&quot;:[{&quot;id&quot;:&quot;1ac4c301-95cf-3133-a4d2-c142fa1b5bf1&quot;,&quot;itemData&quot;:{&quot;type&quot;:&quot;report&quot;,&quot;id&quot;:&quot;1ac4c301-95cf-3133-a4d2-c142fa1b5bf1&quot;,&quot;title&quot;:&quot;IMPLEMENTASI EARLY WARNING SYSTEM (EWS) DALAM MENEKAN TINGKAT NON PERFORMING FINANCING (NPF) DI PERBANKAN SYARIAH&quot;,&quot;author&quot;:[{&quot;family&quot;:&quot;Febriyanti&quot;,&quot;given&quot;:&quot;Novi&quot;,&quot;parse-names&quot;:false,&quot;dropping-particle&quot;:&quot;&quot;,&quot;non-dropping-particle&quot;:&quot;&quot;}],&quot;URL&quot;:&quot;https://ojk.go.id/id/kanal/syariah/berita-dan-kegiatan/publikasi/Pages/Snapshot-&quot;,&quot;issued&quot;:{&quot;date-parts&quot;:[[2020]]},&quot;number-of-pages&quot;:&quot;124-154&quot;,&quot;abstract&quot;:&quot;The health of a bank based on sharia principles is in the interest of all parties involved, including the owner, bank management, public users of bank services, Bank Indonesia as the bank supervisory authority and other parties. The following article aims to discuss the principles of Sharia prudential banking through an early warning system (EWS) that Islamic banks usually apply. The research method used is qualitative with a field research approach and literature study with data collection techniques through observation, interviews and documentation. The results show that the application of an early warning measurement system for Islamic banks can be calculated using several indicators, namely including return on equity (ROE), return on assets (ROA), financing to deposit ratio (FDR), non-performing finance (NPF) and ratios. operating costs and operating income (BOPO). This is implemented to reduce the level of problematic financing caused by two factors, namely internal factors (the banking sector), namely the lack of maintenance that has been determined, accuracy in business analysis, understanding of the necessary needs, inclusion of sound policy requirements and pursuing targets. External factors (debtors) are natural disasters, decreased business, collateral, increased competition for business types, low education levels and family factors.&quot;,&quot;issue&quot;:&quot;2&quot;,&quot;volume&quot;:&quot;6&quot;,&quot;container-title-short&quot;:&quot;&quot;},&quot;isTemporary&quot;:false}]},{&quot;citationID&quot;:&quot;MENDELEY_CITATION_c18e2d6b-f125-4a1d-a794-3dfdb1f60012&quot;,&quot;properties&quot;:{&quot;noteIndex&quot;:0},&quot;isEdited&quot;:false,&quot;manualOverride&quot;:{&quot;isManuallyOverridden&quot;:false,&quot;citeprocText&quot;:&quot;(Astuti &amp;#38; Artha, 2023)&quot;,&quot;manualOverrideText&quot;:&quot;&quot;},&quot;citationTag&quot;:&quot;MENDELEY_CITATION_v3_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&quot;,&quot;citationItems&quot;:[{&quot;id&quot;:&quot;e281a903-e6ac-31f5-8b75-0c9e7f9f57e0&quot;,&quot;itemData&quot;:{&quot;type&quot;:&quot;article-journal&quot;,&quot;id&quot;:&quot;e281a903-e6ac-31f5-8b75-0c9e7f9f57e0&quot;,&quot;title&quot;:&quot;ROA sebagai determinan pembiayaan pada Bank Muamalat Indonesia&quot;,&quot;author&quot;:[{&quot;family&quot;:&quot;Astuti&quot;,&quot;given&quot;:&quot;Wuku&quot;,&quot;parse-names&quot;:false,&quot;dropping-particle&quot;:&quot;&quot;,&quot;non-dropping-particle&quot;:&quot;&quot;},{&quot;family&quot;:&quot;Artha&quot;,&quot;given&quot;:&quot;Bhenu&quot;,&quot;parse-names&quot;:false,&quot;dropping-particle&quot;:&quot;&quot;,&quot;non-dropping-particle&quot;:&quot;&quot;}],&quot;container-title&quot;:&quot;Entrepreneurship Bisnis Manajemen Akuntansi (E-BISMA)&quot;,&quot;DOI&quot;:&quot;10.37631/ebisma.v4i2.1213&quot;,&quot;ISSN&quot;:&quot;2774-8804&quot;,&quot;URL&quot;:&quot;https://ejournal.widyamataram.ac.id/index.php/j-mae/article/view/1213&quot;,&quot;issued&quot;:{&quot;date-parts&quot;:[[2023,12,1]]},&quot;page&quot;:&quot;397-405&quot;,&quot;abstract&quot;:&quot;&lt;p&gt;Lembaga keuangan perbankan merupakan lembaga keuangan yang bertugas menghimpun dana dari masyarakat dan menyalurkan kembali ke masyarakat guna memenuhi kebutuhan dana bagi pihak yang membutuhkan, baik untuk kegiatan produktif maupun konsumtif. Bank syariah merupakan lembaga keuangan bank yang berprinsip syariah yang dalam pelaksanaan operasionalnya menggunakan prinsip-prinsip syariah Islam. Operasional bank syariah telah beberapa kali diteliti, dan penelitian ini berfokus pada kinerja keuangan bank syariah. Prinsip syariah adalah aturan perjanjian berdasarkan hukum Islam antara bank dengan pihak lain untuk menyimpan dana dan atau pembiayaan kegiatan usaha, atau kegiatan lainnya yang dinyatakan sesuai dengan syariah. Penelitian ini bertujuan untuk mengetahui pengaruh return onn assets (ROA) terhadap pembiayaan murabahah, mudharabah, dan musyarakah di Bank Muamalat Indonesia. Metode kuantitatif digunakan dalam penelitian ini. Data yang digunakan diambil dari laporan triwulanan periode Juni 2015 – Maret 2023. Hasil analisis menunjukkan bahwa ROA berpengaruh positif signifikan terhadap pembiayaan murabahah, mudharabah, dan musyarakah. Saran untuk penelitian selanjutnya juga disampaikan disini.&lt;/p&gt;&quot;,&quot;container-title-short&quot;:&quot;&quot;},&quot;isTemporary&quot;:false}]},{&quot;citationID&quot;:&quot;MENDELEY_CITATION_e434a7e6-8dff-45e2-a105-b251f8a7f6fe&quot;,&quot;properties&quot;:{&quot;noteIndex&quot;:0},&quot;isEdited&quot;:false,&quot;manualOverride&quot;:{&quot;isManuallyOverridden&quot;:false,&quot;citeprocText&quot;:&quot;(Syifa, 2018)&quot;,&quot;manualOverrideText&quot;:&quot;&quot;},&quot;citationTag&quot;:&quot;MENDELEY_CITATION_v3_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&quot;,&quot;citationItems&quot;:[{&quot;id&quot;:&quot;ba689838-22db-3e57-8442-f6b849d4e767&quot;,&quot;itemData&quot;:{&quot;type&quot;:&quot;report&quot;,&quot;id&quot;:&quot;ba689838-22db-3e57-8442-f6b849d4e767&quot;,&quot;title&quot;:&quot;THE IMPACT OF NON PERFORMING FINANCE (NPF), CAPITAL ADEQUACY RATIO (CAR), AND FINANCING DEPOSIT RATIO (FDR) TO RETURN ON ASSET (ROA) WITH DEPOSITOR FUNDS AS A MODERATING VARIABLE IN ISLAMIC BANKS&quot;,&quot;author&quot;:[{&quot;family&quot;:&quot;Syifa&quot;,&quot;given&quot;:&quot;Ahmad&quot;,&quot;parse-names&quot;:false,&quot;dropping-particle&quot;:&quot;&quot;,&quot;non-dropping-particle&quot;:&quot;&quot;}],&quot;container-title&quot;:&quot;Jurnal Akuntansi Berkelanjutan Indonesia&quot;,&quot;issued&quot;:{&quot;date-parts&quot;:[[2018]]},&quot;abstract&quot;:&quot;Return On Asset (ROA) is one of the profitability indicators, this study aimed to know the effect of several internal factors; non performing financing (NPF), capital adequacy ratio (CAR) and financing to deposit ratio (FDR) and depositors funds to Return on Asset (ROA) in Islamic commercial bank in Indonesia. This study uses a sensus method from January 2009 to December 2015. Testing the hypothesis in this study is done by using multiple linier regression test analysis and test interaction moderated regression analysis (MRA) by using Statistical Package for the Social Sciences (SPSS) 23. Result of this research hypothesis show that in the model seen a significant influence on non performing financing and capital adequacy ratio to ROA with probability value (sig-t) 0,000 lower than 0,05, and the value of coefficient regression are-0,349 and-0,114 with negative score, it means that if NPF or CAR increase it can make ROA decreasing. The result of third hypothesis shows that FDR has significant influence to ROA with probability value (sig-t) 0,019 lower than 0,05 and the value of coefficient regression is 0,028, it means that FDR has positive influence to ROA. This study also demonstrates the role of moderating variables that can be seen from the result of fourth until sixth hypothesis testing that significantly influence to ROA with probability value (sig-t) score 0,000, 0,022 and 0,003 lower than 0,05 and have coefficient regression value equal 1,029, 0,391 and 0,073 with positive score. Statistical of F test shows that F cal equal to 24,053 while F table at 0,846, so that F cal &gt; F table. It means that independent variables such as NPF, CAR, FDR, and DPK significantly influence to Return on Asset.&quot;,&quot;issue&quot;:&quot;2&quot;,&quot;volume&quot;:&quot;1&quot;,&quot;container-title-short&quot;:&quot;&quot;},&quot;isTemporary&quot;:false}]},{&quot;citationID&quot;:&quot;MENDELEY_CITATION_1fda25ff-c899-4111-9959-87b84aa76a0b&quot;,&quot;properties&quot;:{&quot;noteIndex&quot;:0},&quot;isEdited&quot;:false,&quot;manualOverride&quot;:{&quot;isManuallyOverridden&quot;:false,&quot;citeprocText&quot;:&quot;(Agung Panji Subekti &amp;#38; Kusuma Wardana, 2022)&quot;,&quot;manualOverrideText&quot;:&quot;&quot;},&quot;citationTag&quot;:&quot;MENDELEY_CITATION_v3_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&quot;,&quot;citationItems&quot;:[{&quot;id&quot;:&quot;7cdf4edf-4924-3404-bdb0-f73cb27c8e9b&quot;,&quot;itemData&quot;:{&quot;type&quot;:&quot;report&quot;,&quot;id&quot;:&quot;7cdf4edf-4924-3404-bdb0-f73cb27c8e9b&quot;,&quot;title&quot;:&quot;Pengaruh CAR , BOPO dan FDR Terhadap ROA Bank Umum Syariah&quot;,&quot;author&quot;:[{&quot;family&quot;:&quot;Agung Panji Subekti&quot;,&quot;given&quot;:&quot;Wahyu&quot;,&quot;parse-names&quot;:false,&quot;dropping-particle&quot;:&quot;&quot;,&quot;non-dropping-particle&quot;:&quot;&quot;},{&quot;family&quot;:&quot;Kusuma Wardana&quot;,&quot;given&quot;:&quot;Guntur&quot;,&quot;parse-names&quot;:false,&quot;dropping-particle&quot;:&quot;&quot;,&quot;non-dropping-particle&quot;:&quot;&quot;}],&quot;URL&quot;:&quot;https://www.bps.go.id/publication/2020/12/21/7ec02d39d6732972dcebe54f/analisis-hasil-&quot;,&quot;issued&quot;:{&quot;date-parts&quot;:[[2022]]},&quot;container-title-short&quot;:&quot;&quot;},&quot;isTemporary&quot;:false}]},{&quot;citationID&quot;:&quot;MENDELEY_CITATION_3258ddb0-ff0b-4c84-9795-76381ce04dcc&quot;,&quot;properties&quot;:{&quot;noteIndex&quot;:0},&quot;isEdited&quot;:false,&quot;manualOverride&quot;:{&quot;isManuallyOverridden&quot;:false,&quot;citeprocText&quot;:&quot;(Tho’in, 2022)&quot;,&quot;manualOverrideText&quot;:&quot;&quot;},&quot;citationTag&quot;:&quot;MENDELEY_CITATION_v3_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&quot;,&quot;citationItems&quot;:[{&quot;id&quot;:&quot;ed134cd6-7115-3b36-93de-e15ea1fa8759&quot;,&quot;itemData&quot;:{&quot;type&quot;:&quot;article-journal&quot;,&quot;id&quot;:&quot;ed134cd6-7115-3b36-93de-e15ea1fa8759&quot;,&quot;title&quot;:&quot;Effect of Financing to Deposit Ratio and Operational Efficiency on Profitability (ROA) with NPF as Intervening in Islamic Banks&quot;,&quot;author&quot;:[{&quot;family&quot;:&quot;Tho'in&quot;,&quot;given&quot;:&quot;Muhammad&quot;,&quot;parse-names&quot;:false,&quot;dropping-particle&quot;:&quot;&quot;,&quot;non-dropping-particle&quot;:&quot;&quot;}],&quot;container-title&quot;:&quot;Jurnal Ilmiah Ekonomi Islam&quot;,&quot;DOI&quot;:&quot;10.29040/jiei.v8i2.5857&quot;,&quot;ISSN&quot;:&quot;2579-6534&quot;,&quot;issued&quot;:{&quot;date-parts&quot;:[[2022]]},&quot;page&quot;:&quot;2020-2026&quot;,&quot;abstract&quot;:&quot;The purpose of this research is to determine the effect The data analysis method used in this research is multiple linear regression analysis and path analysis. Multiple linear regression analysis was conducted to determine the linear relationship between several independent variables (X) and the dependent variable (Y). While the path analysis method is a causality analysis that occurs when exogenous variables directly or indirectly affect endogenous variables. The results showed that partially the FDR and Operational Efficiency variables had an influence on the NPF variable. In addition, only and Operational Efficiency and NPF variables partially have an effect on ROA. Based on the results of the path analysis test, it can be explained that only the Operating Cost of Operating Income (X2) has an indirect effect on Return on Assets (Y) through NPF (Z). That is, the NPF variable is able to mediate the relationship between Operational Costs of Operating Income and Return on Assets. Citation suggestions: Tho'in, M. (2022). Effect of Financing to Deposit Ratio and Operational Efficiency on Profitability (ROA) with NPF as Intervening in Islamic Banks.&quot;,&quot;issue&quot;:&quot;02&quot;,&quot;volume&quot;:&quot;8&quot;,&quot;container-title-short&quot;:&quot;&quot;},&quot;isTemporary&quot;:false}]},{&quot;citationID&quot;:&quot;MENDELEY_CITATION_2d7bfb4e-49ae-4272-b493-5e1f49cb80b4&quot;,&quot;properties&quot;:{&quot;noteIndex&quot;:0},&quot;isEdited&quot;:false,&quot;manualOverride&quot;:{&quot;isManuallyOverridden&quot;:false,&quot;citeprocText&quot;:&quot;(Festiani, 2016)&quot;,&quot;manualOverrideText&quot;:&quot;&quot;},&quot;citationTag&quot;:&quot;MENDELEY_CITATION_v3_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&quot;,&quot;citationItems&quot;:[{&quot;id&quot;:&quot;8646d2c7-3bca-3f52-9105-69bb57bd828a&quot;,&quot;itemData&quot;:{&quot;type&quot;:&quot;report&quot;,&quot;id&quot;:&quot;8646d2c7-3bca-3f52-9105-69bb57bd828a&quot;,&quot;title&quot;:&quot;Analisis PengaruhRnsio CAR, NPF, BOPO, ROA, dnn FDR&quot;,&quot;author&quot;:[{&quot;family&quot;:&quot;Festiani&quot;,&quot;given&quot;:&quot;Eva Ratna&quot;,&quot;parse-names&quot;:false,&quot;dropping-particle&quot;:&quot;&quot;,&quot;non-dropping-particle&quot;:&quot;&quot;}],&quot;issued&quot;:{&quot;date-parts&quot;:[[2016]]},&quot;abstract&quot;:&quot;This study aims to analyze the influence of the ratio of C-apitnl Adequacy Ratio, NPf, ROA, ROA md FDR against Islamic commercial bank soundness. This rewarch is a quantitntfue study using secondary ilata obtained from tlu annual reports in Indonesian lslamic Banks published by Bank Inilonesia and the data bank health ratings obtained from annual reports of Islamic Banks andbank info Research. Thus, the sample usedby 11 Islamic Banks. This study ttws n model of Ordinnl Logit Regression analysis to analyze tlrc effect of the ratio of Capital Adequacy Ratio, NPF, ROA, ROA and FDR. The results showed that tlu Non Performing Financing (?VPD Operating Income and Operating Expenses significant effect on the health of banks with significarut aalue and NPF A,040 0,020 Operating Expmses Operating Incame. Vlltile the Capital Adequacy Ratio, ROA, FDR did not hmre a significant influence on the health of banks, ihrc to the significant oalue of each aaiabb is more than 0.05 (p&gt; 5%).&quot;,&quot;container-title-short&quot;:&quot;&quot;},&quot;isTemporary&quot;:false}]},{&quot;citationID&quot;:&quot;MENDELEY_CITATION_ea35283c-d843-4966-ae71-9148bcd9ce27&quot;,&quot;properties&quot;:{&quot;noteIndex&quot;:0},&quot;isEdited&quot;:false,&quot;manualOverride&quot;:{&quot;isManuallyOverridden&quot;:false,&quot;citeprocText&quot;:&quot;(Ulfa Nora, 2020)&quot;,&quot;manualOverrideText&quot;:&quot;&quot;},&quot;citationTag&quot;:&quot;MENDELEY_CITATION_v3_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&quot;,&quot;citationItems&quot;:[{&quot;id&quot;:&quot;54c4f52c-811b-365e-8fd4-8f278f293641&quot;,&quot;itemData&quot;:{&quot;type&quot;:&quot;report&quot;,&quot;id&quot;:&quot;54c4f52c-811b-365e-8fd4-8f278f293641&quot;,&quot;title&quot;:&quot;THE EFFECT OF NON-PERFORMING FINANCING (NPF) AND PERCENTAGE OF PROFIT SHARING (PBH) ON MUSYARAKAH FINANCING AT PT BANK SYARIAH MANDIRI&quot;,&quot;author&quot;:[{&quot;family&quot;:&quot;Ulfa Nora&quot;,&quot;given&quot;:&quot;Liza&quot;,&quot;parse-names&quot;:false,&quot;dropping-particle&quot;:&quot;&quot;,&quot;non-dropping-particle&quot;:&quot;&quot;}],&quot;container-title&quot;:&quot;Jurnal At-Tijarah&quot;,&quot;URL&quot;:&quot;www.syariah.mandiri.co.id&quot;,&quot;issued&quot;:{&quot;date-parts&quot;:[[2020]]},&quot;number-of-pages&quot;:&quot;2020&quot;,&quot;abstract&quot;:&quot;Non&quot;,&quot;issue&quot;:&quot;1&quot;,&quot;volume&quot;:&quot;1&quot;,&quot;container-title-short&quot;:&quot;&quot;},&quot;isTemporary&quot;:false}]},{&quot;citationID&quot;:&quot;MENDELEY_CITATION_aef0caf7-cdfc-4335-96b1-bb423074c600&quot;,&quot;properties&quot;:{&quot;noteIndex&quot;:0},&quot;isEdited&quot;:false,&quot;manualOverride&quot;:{&quot;isManuallyOverridden&quot;:false,&quot;citeprocText&quot;:&quot;(Sri et al., 2013)&quot;,&quot;manualOverrideText&quot;:&quot;&quot;},&quot;citationTag&quot;:&quot;MENDELEY_CITATION_v3_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&quot;,&quot;citationItems&quot;:[{&quot;id&quot;:&quot;239311da-26d3-3047-b426-ec58c351840d&quot;,&quot;itemData&quot;:{&quot;type&quot;:&quot;report&quot;,&quot;id&quot;:&quot;239311da-26d3-3047-b426-ec58c351840d&quot;,&quot;title&quot;:&quot;The Influence of Third-Party Funds, Car, Npf and Roa Against The Financing of A General Sharia-Based Bank in Indonesia&quot;,&quot;author&quot;:[{&quot;family&quot;:&quot;Sri&quot;,&quot;given&quot;:&quot;Anastasya&quot;,&quot;parse-names&quot;:false,&quot;dropping-particle&quot;:&quot;&quot;,&quot;non-dropping-particle&quot;:&quot;&quot;},{&quot;family&quot;:&quot;Anggraini&quot;,&quot;given&quot;:&quot;Ratna&quot;,&quot;parse-names&quot;:false,&quot;dropping-particle&quot;:&quot;&quot;,&quot;non-dropping-particle&quot;:&quot;&quot;},{&quot;family&quot;:&quot;Gurendrawati&quot;,&quot;given&quot;:&quot;Etty&quot;,&quot;parse-names&quot;:false,&quot;dropping-particle&quot;:&quot;&quot;,&quot;non-dropping-particle&quot;:&quot;&quot;},{&quot;family&quot;:&quot;Hasanah&quot;,&quot;given&quot;:&quot;Nuramalia&quot;,&quot;parse-names&quot;:false,&quot;dropping-particle&quot;:&quot;&quot;,&quot;non-dropping-particle&quot;:&quot;&quot;}],&quot;issued&quot;:{&quot;date-parts&quot;:[[2013]]},&quot;abstract&quot;:&quot;The purposes of this research are to examine the influence of Third Party Fund, Capital Adequacy Ratio, Non Performing Financing and Return of Asset on Financing Profit Sharing of Islamic Banking in Indonesia, both simultaneously and partially. This research used secondary data by quarterly financial reports that Islamic banks in the bank's website. Samples of this research consist of 3 Islamic Banking that listed in Islamic Banking Statistic during the period of 2008-2011. This research is used multiple regression as analysis model. Before hypothesis tested, the first assumption of classical tested, so the regression model is not biased and has met the requirements BLUE (best linear unbiased estimator) that is not there heteroskedastistas, there is no multicollinearity, and there is no autocorrelation. The results of this research indicate that third party fund, capital adequacy ratio and return of asset, partially have no effect on the financing profit sharing. While non performing financing variable have a significant effect on the financing profit sharing. The other results is that third party fund, CAR, NPF and ROA simultaneously have significant influence on the financing profit sharing.&quot;},&quot;isTemporary&quot;:false}]},{&quot;citationID&quot;:&quot;MENDELEY_CITATION_67df6a48-725d-4535-8eac-d115046ab79b&quot;,&quot;properties&quot;:{&quot;noteIndex&quot;:0},&quot;isEdited&quot;:false,&quot;manualOverride&quot;:{&quot;isManuallyOverridden&quot;:false,&quot;citeprocText&quot;:&quot;(Nura et al., 2023)&quot;,&quot;manualOverrideText&quot;:&quot;&quot;},&quot;citationTag&quot;:&quot;MENDELEY_CITATION_v3_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&quot;,&quot;citationItems&quot;:[{&quot;id&quot;:&quot;a336aec5-d2e5-3e2c-a22d-d6e552582221&quot;,&quot;itemData&quot;:{&quot;type&quot;:&quot;article-journal&quot;,&quot;id&quot;:&quot;a336aec5-d2e5-3e2c-a22d-d6e552582221&quot;,&quot;title&quot;:&quot;Pengaruh CAR, BOPO, FDR Dan NPF Terhadap Tingkat Bagi Hasil Mudharabah Dimediasi ROA Di Bank Umum Syariah Indonesia&quot;,&quot;author&quot;:[{&quot;family&quot;:&quot;Nura&quot;,&quot;given&quot;:&quot;Ismail&quot;,&quot;parse-names&quot;:false,&quot;dropping-particle&quot;:&quot;&quot;,&quot;non-dropping-particle&quot;:&quot;&quot;},{&quot;family&quot;:&quot;Nurlaila&quot;,&quot;given&quot;:&quot;Nurlaila&quot;,&quot;parse-names&quot;:false,&quot;dropping-particle&quot;:&quot;&quot;,&quot;non-dropping-particle&quot;:&quot;&quot;},{&quot;family&quot;:&quot;Marliyah&quot;,&quot;given&quot;:&quot;Marliyah&quot;,&quot;parse-names&quot;:false,&quot;dropping-particle&quot;:&quot;&quot;,&quot;non-dropping-particle&quot;:&quot;&quot;}],&quot;container-title&quot;:&quot;Owner&quot;,&quot;DOI&quot;:&quot;10.33395/owner.v7i1.1503&quot;,&quot;ISSN&quot;:&quot;2548-7507&quot;,&quot;issued&quot;:{&quot;date-parts&quot;:[[2023,2,9]]},&quot;page&quot;:&quot;908-919&quot;,&quot;abstract&quot;:&quot;Funding products at Islamic Banks can be in the form of demand deposits, savings and time deposits. One of the most popular fund products is mudharabah deposits. The most popular sharia banking product is mudharabah deposits. Mudharabah as a fund collector that provides the largest proportion of total DPK and is not bound by third parties because the withdrawal will be made at a certain time. Mudharabah contract as a collection of funds that provides the largest proportion of the total DPK of Islamic banks. Mudharabah is also an investment product that is not bound by a third party because the withdrawal will be made at a certain time. This study wants to test whether the Capital Adequacy Ratio (CAR), Operating expenses to operating income (BOPO), Financing to Deposit Ratio (FDR) and Non-Performing Financing (NPF) have a direct and indirect effect on mudharabah at Indonesian Sharia Commercial Banks in 2017 - 2021. The type in this research is quantitative research with the method. In this study, a documentation study was used using path analysis. Based on the results of the study, it shows that the Capital Adequacy Ratio (CAR) has a direct effect on mudharabah, Operating expenses on operating income (BOPO) has an effect on mudharabah, Financing to Deposit Ratio (FDR) has no effect on mudharabah, Non Performing Financing (NPF) has no effect on mudharabah , indirectly the Capital Adequacy Ratio (CAR) has an effect on mudharabah mediated through ROA, BOPO has an effect on mudharabah through mediated Return On Assets (ROA), Financing to Deposit Ratio (FDR) has no effect on mudharabah mediated through Return On Assets (ROA) , Non Performing Financing (NPF) has no effect on mudharabah mediated through Return On Assets (ROA).&quot;,&quot;publisher&quot;:&quot;Politeknik Ganesha&quot;,&quot;issue&quot;:&quot;1&quot;,&quot;volume&quot;:&quot;7&quot;,&quot;container-title-short&quot;:&quot;&quot;},&quot;isTemporary&quot;:false}]},{&quot;citationID&quot;:&quot;MENDELEY_CITATION_56269153-2c99-4a73-9d08-ee5e4a0d7aef&quot;,&quot;properties&quot;:{&quot;noteIndex&quot;:0},&quot;isEdited&quot;:false,&quot;manualOverride&quot;:{&quot;isManuallyOverridden&quot;:false,&quot;citeprocText&quot;:&quot;(Syachreza et al., 2020)&quot;,&quot;manualOverrideText&quot;:&quot;&quot;},&quot;citationTag&quot;:&quot;MENDELEY_CITATION_v3_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&quot;,&quot;citationItems&quot;:[{&quot;id&quot;:&quot;9228e8bf-ab11-34c6-9422-d80b17ced620&quot;,&quot;itemData&quot;:{&quot;type&quot;:&quot;report&quot;,&quot;id&quot;:&quot;9228e8bf-ab11-34c6-9422-d80b17ced620&quot;,&quot;title&quot;:&quot;Analisis Pengaruh CAR,NPF,FDR, BOPO Terhadap Kinerja Keuangan Bank&quot;,&quot;author&quot;:[{&quot;family&quot;:&quot;Syachreza&quot;,&quot;given&quot;:&quot;Danny&quot;,&quot;parse-names&quot;:false,&quot;dropping-particle&quot;:&quot;&quot;,&quot;non-dropping-particle&quot;:&quot;&quot;},{&quot;family&quot;:&quot;Gusliana&quot;,&quot;given&quot;:&quot;Rimi&quot;,&quot;parse-names&quot;:false,&quot;dropping-particle&quot;:&quot;&quot;,&quot;non-dropping-particle&quot;:&quot;&quot;},{&quot;family&quot;:&quot;Tinggi Ilmu Ekonomi Indonesia Jakarta Jl Kayu Jati Raya No&quot;,&quot;given&quot;:&quot;Sekolah&quot;,&quot;parse-names&quot;:false,&quot;dropping-particle&quot;:&quot;&quot;,&quot;non-dropping-particle&quot;:&quot;&quot;},{&quot;family&quot;:&quot;Timur&quot;,&quot;given&quot;:&quot;Jakarta&quot;,&quot;parse-names&quot;:false,&quot;dropping-particle&quot;:&quot;&quot;,&quot;non-dropping-particle&quot;:&quot;&quot;}],&quot;container-title&quot;:&quot;Jurnal Akuntansi dan Manajemen&quot;,&quot;URL&quot;:&quot;www.ojk.go.id&quot;,&quot;issued&quot;:{&quot;date-parts&quot;:[[2020]]},&quot;issue&quot;:&quot;01&quot;,&quot;volume&quot;:&quot;17&quot;,&quot;container-title-short&quot;:&quot;&quot;},&quot;isTemporary&quot;:false}]},{&quot;citationID&quot;:&quot;MENDELEY_CITATION_a7201683-b2f5-41b9-94bc-b5769ee2ebad&quot;,&quot;properties&quot;:{&quot;noteIndex&quot;:0},&quot;isEdited&quot;:false,&quot;manualOverride&quot;:{&quot;isManuallyOverridden&quot;:false,&quot;citeprocText&quot;:&quot;(Solihatun &amp;#38; Tirta Bahagia, 2014)&quot;,&quot;manualOverrideText&quot;:&quot;&quot;},&quot;citationTag&quot;:&quot;MENDELEY_CITATION_v3_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&quot;,&quot;citationItems&quot;:[{&quot;id&quot;:&quot;a52d28de-0e3b-3af2-9b33-85d7b3718b9b&quot;,&quot;itemData&quot;:{&quot;type&quot;:&quot;report&quot;,&quot;id&quot;:&quot;a52d28de-0e3b-3af2-9b33-85d7b3718b9b&quot;,&quot;title&quot;:&quot;ANALISIS NON PERFORMING FINANCING (NPF) BANK UMUM SYARIAH DI INDONESIA TAHUN 2007-2012&quot;,&quot;author&quot;:[{&quot;family&quot;:&quot;Solihatun&quot;,&quot;given&quot;:&quot;Oleh :&quot;,&quot;parse-names&quot;:false,&quot;dropping-particle&quot;:&quot;&quot;,&quot;non-dropping-particle&quot;:&quot;&quot;},{&quot;family&quot;:&quot;Tirta Bahagia&quot;,&quot;given&quot;:&quot;P T&quot;,&quot;parse-names&quot;:false,&quot;dropping-particle&quot;:&quot;&quot;,&quot;non-dropping-particle&quot;:&quot;&quot;}],&quot;issued&quot;:{&quot;date-parts&quot;:[[2014]]},&quot;abstract&quot;:&quot;The purpose of this study was to determine the effect of Financing to Deposit Ratio (FDR) and Return on Assets (ROA) as an internal indicator banks representing aspects of profit and liquidity and the inflation rate as an indicator of bank external (macroeconomic) the ratio of financing problems are reflected in the ratio Non-Performing Financing (NPF) Islamic banks in Indonesia in 2007-2012. analytical tool used is multiple linear regression using panel data. Results of regression is that the variable Financing to Deposit Ratio (X1) and a significant positive effect on Non Performing Financing, Return on Assets (X2) and a significant negative effect on Non Performing Financing and the inflation rate (X3) and no significant positive effect on Non-Performing Financing.&quot;,&quot;container-title-short&quot;:&quot;&quot;},&quot;isTemporary&quot;:false}]},{&quot;citationID&quot;:&quot;MENDELEY_CITATION_24263b4f-8304-4c91-8939-c088b2527afa&quot;,&quot;properties&quot;:{&quot;noteIndex&quot;:0},&quot;isEdited&quot;:false,&quot;manualOverride&quot;:{&quot;isManuallyOverridden&quot;:false,&quot;citeprocText&quot;:&quot;(Sumadi &amp;#38; Romdhoni, 2020)&quot;,&quot;manualOverrideText&quot;:&quot;&quot;},&quot;citationTag&quot;:&quot;MENDELEY_CITATION_v3_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&quot;,&quot;citationItems&quot;:[{&quot;id&quot;:&quot;1e85d2f3-4419-3971-8a79-9442c0810f86&quot;,&quot;itemData&quot;:{&quot;type&quot;:&quot;article-journal&quot;,&quot;id&quot;:&quot;1e85d2f3-4419-3971-8a79-9442c0810f86&quot;,&quot;title&quot;:&quot;Pengaruh Financing to Deposit Ratio (FDR), Dana Pihak Ketiga (DPK) dan Return On Asset (ROA) Terhadap Pembiayaan Musyarakah (Studi Kasus Bank Syariah Mandiri Periode 2010-2018)&quot;,&quot;author&quot;:[{&quot;family&quot;:&quot;Sumadi&quot;,&quot;given&quot;:&quot;Sumadi&quot;,&quot;parse-names&quot;:false,&quot;dropping-particle&quot;:&quot;&quot;,&quot;non-dropping-particle&quot;:&quot;&quot;},{&quot;family&quot;:&quot;Romdhoni&quot;,&quot;given&quot;:&quot;Abdul Haris&quot;,&quot;parse-names&quot;:false,&quot;dropping-particle&quot;:&quot;&quot;,&quot;non-dropping-particle&quot;:&quot;&quot;}],&quot;container-title&quot;:&quot;Jurnal Ilmiah Ekonomi Islam&quot;,&quot;DOI&quot;:&quot;10.29040/jiei.v6i3.1430&quot;,&quot;ISSN&quot;:&quot;2477-6157&quot;,&quot;issued&quot;:{&quot;date-parts&quot;:[[2020,11,9]]},&quot;page&quot;:&quot;598&quot;,&quot;abstract&quot;:&quot;Penelitian ini bertujuan untuk mengetahui pengaruh Financing To Deposit Ratio (FDR), Dana Pihak Ketiga (DPK) dan Return On Asset (ROA) terhadap pembiayaan musyarakah pada Bank Syariah Mandiri (BSM) dari tahun 2010-2018 baik secara parsial maupun simultan. Populasi dalam penelitian ini adalah perbankan syariah yaitu Bank Syariah Mandiri (BSM) tahun 2010-2018 sebanyak 32 diambil secara purposive sampling. Data yang digunakan menggunakan data sekuder yang diperoleh dari laporan keuangan triwulan Bank Syariah Mandiri (BSM). Metode yang digunakan penelitian ini adalah dengan menggunakan metode uji asumsi klasik dimana uji Asumsi Klasik ini terdiri dari empat uji yaitu uji Normalitas, uji Multikolinieritas, uji Heterokedastisitas dan uji Autokorelasi selain menggunakan uji Asumsi Klasik, dalam penelitian ini juga menggunakan uji dengan analisis data dari analisis regresi linier berganda serta menggunakan uji t atau uji parsial dan uji F atau uji secara simultan maupun bersama-sama. Pada penelitian menggunakan jenis data yang bersifat kuantitatif. Hasil penelitian menunjukkan bahwa variabel yang berpengaruh terhadap pembiayaan musyarakah adalah variabel Financing To Deposit Ratio (FDR) dengan nilai P-value sebesar 0,000 dimana nilai ini lebih besar dari 0,05 dan nilai thitung sebesar -4,916 dimana nilai ini lebih besar dari nilai ttabel yaitu 2,0484 dan Dana Pihak Ketiga dengan nilai P-value sebesar 0,000 dimana nilai ini lebih besar dari 0,05 dan nilai thitung sebesar 4,559 lebih besar dari nilai ttabel yaitu 2,0484 sedangkan variabel yang tidak berpengaruh terhadap pembiayaan musyarakah adalah variabel Return On Asset (ROA) dengan nilai P-value 0,428 dimana nilai ini lebih besar dari 0,05 dan thitung lebih kecil dari ttabel dimana nilai thitung sebesar 0,805 dan nilai ttabel sebesar 2,0484 . Secara simultan seluruh variabel yaitu FDR, DPK dan ROA secara bersama-sama berpengaruh terhadap pembiayaan musyarakah pada Bank Syariah Mandiri (BSM) tahun 2010-2018 dengan nilai signifikansinya sebesar 0,000 dimana nilai sig tersebut lebih kecil dari 0,05 sedangkan nilai Fhitung lebih besar dari nilai Ftabel dimana nilai Fhitung sebesar 25,160 sedangkan nilai Ftabel sebesar 2.95.\r \r ABSTRACT\r This study aims to determine the effect of Financing To Deposit Ratio (FDR), Third Party Fund (DPK) and Return On Assets (ROA) on Musyarakah financing at Bank Syariah Mandiri (BSM) from 2010-2018 either partially or simultaneously. Population in this research is syariah banking that is Bank Syariah Mandiri (BSM) year 2010-2017 as many as 32 taken by purposive sampling. Data used using sekuder data obtained from quarterly financial report of Bank Syariah Mandiri (BSM).\r The method used in this research is using the classical assumption test method where the Classic Assumption test consists of four tests namely Normality test, Multicolinierity test, Heterocedasticity test and Autocorrelation test in addition to using Classic Assumption test, in this study also used the test with data analysis from analysis multiple linear regression and using t test or partial test and F test or test simultaneously or together. In the study using the type of data that is quantitative.\r The result of this research shows that the variable that influences the musyarakah financing is the Financing To Deposit Ratio (FDR) variable with P-value value of 0,000 which is bigger than 0,05 and the value of t-count is -4,916 where this value is bigger than ttable 2.0484 and Third Party Funds with a value of P-value of 0,000 where this value is greater than 0.05 and tcount value of 4.559 is greater than the value of ttable is 2.0484 while the variable that does not affect the musyarakah financing is the variable Return On Asset (ROA) with a value of P-value 0.428 where this value is greater than 0.05 and t count is smaller than ttable where the tcount value is 0.805 and the value of ttable is 2.0484. Simultaneously all variables that are FDR, DPK and ROA together effect on musyarakah financing at Bank Syariah Mandiri (BSM) year 2010-2018 with a significance value of 0,000 where the value of sig is smaller than 0.05 while the value of Fcount is greater than Ftable value where the value of Fcount equal to 25,160 while Ftable value equal to 2.95.&quot;,&quot;publisher&quot;:&quot;STIE AAS Surakarta&quot;,&quot;issue&quot;:&quot;3&quot;,&quot;volume&quot;:&quot;6&quot;,&quot;container-title-short&quot;:&quot;&quot;},&quot;isTemporary&quot;:false}]},{&quot;citationID&quot;:&quot;MENDELEY_CITATION_563c8f32-41b4-4abd-803a-05e85010bd5b&quot;,&quot;properties&quot;:{&quot;noteIndex&quot;:0},&quot;isEdited&quot;:false,&quot;manualOverride&quot;:{&quot;isManuallyOverridden&quot;:false,&quot;citeprocText&quot;:&quot;(Iman &amp;#38; Umiyati, 2022)&quot;,&quot;manualOverrideText&quot;:&quot;&quot;},&quot;citationTag&quot;:&quot;MENDELEY_CITATION_v3_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&quot;,&quot;citationItems&quot;:[{&quot;id&quot;:&quot;10b5446d-1076-3674-9eec-4958f892b646&quot;,&quot;itemData&quot;:{&quot;type&quot;:&quot;article-journal&quot;,&quot;id&quot;:&quot;10b5446d-1076-3674-9eec-4958f892b646&quot;,&quot;title&quot;:&quot;Analisis Determinan Atas Profitabilitas Bank Syariah Di Indonesia&quot;,&quot;author&quot;:[{&quot;family&quot;:&quot;Iman&quot;,&quot;given&quot;:&quot;Nabila Firdaus&quot;,&quot;parse-names&quot;:false,&quot;dropping-particle&quot;:&quot;&quot;,&quot;non-dropping-particle&quot;:&quot;&quot;},{&quot;family&quot;:&quot;Umiyati&quot;,&quot;given&quot;:&quot;Umiyati&quot;,&quot;parse-names&quot;:false,&quot;dropping-particle&quot;:&quot;&quot;,&quot;non-dropping-particle&quot;:&quot;&quot;}],&quot;container-title&quot;:&quot;Jurnal Akuntansi dan Keuangan Islam&quot;,&quot;DOI&quot;:&quot;10.35836/jakis.v10i1.280&quot;,&quot;ISSN&quot;:&quot;23382783&quot;,&quot;URL&quot;:&quot;https://journal.sebi.ac.id/index.php/jaki/article/view/280&quot;,&quot;issued&quot;:{&quot;date-parts&quot;:[[2022,4,30]]},&quot;page&quot;:&quot;31-53&quot;,&quot;abstract&quot;:&quot;&lt;p&gt;This study aims to analyze the effect of Sharia Compliance, Operating Efficiency Ratio (OER) and Finance To Deposit Ratio (FDR) on the Profitability of Islamic Banks in Indonesia. The period used used is 2016-2020. The population in this study is Islamic Commercial Banks. This study uses a quantitative approach. The sampling method used in this research is purposive sampling. The total sample selected is 7 samples of Islamic Banks that meet the criteria. The analysis technique used is panel data regression with Eviews 10 software. The results of this study indicate that Profit Sharing Ratio (PSR) has no significant effect on Return On Assets in Islamic Banks, Zakat Performance Ratio (ZPR) has a significant effect on Return On Assets of Islamic Banks, Islamic Income Ratio (IsIR) has no significant effect on Return On Assets in Islamic Banks, Operating Efficiency Ratio (OER) has a significant effect on Return On Assets of Islamic Banks, and Financing To Deposite Ratio (FDR) has no significant effect on Return On Assets in Islamic Banks.&lt;/p&gt;&quot;,&quot;issue&quot;:&quot;1&quot;,&quot;volume&quot;:&quot;10&quot;,&quot;container-title-short&quot;:&quot;&quot;},&quot;isTemporary&quot;:false}]},{&quot;citationID&quot;:&quot;MENDELEY_CITATION_5bf15961-0a19-4571-a0c0-a2baeae51bd4&quot;,&quot;properties&quot;:{&quot;noteIndex&quot;:0},&quot;isEdited&quot;:false,&quot;manualOverride&quot;:{&quot;isManuallyOverridden&quot;:false,&quot;citeprocText&quot;:&quot;(Fathony et al., 2021)&quot;,&quot;manualOverrideText&quot;:&quot;&quot;},&quot;citationTag&quot;:&quot;MENDELEY_CITATION_v3_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&quot;,&quot;citationItems&quot;:[{&quot;id&quot;:&quot;625db44c-3c58-30bc-9f5d-8df08326c400&quot;,&quot;itemData&quot;:{&quot;type&quot;:&quot;report&quot;,&quot;id&quot;:&quot;625db44c-3c58-30bc-9f5d-8df08326c400&quot;,&quot;title&quot;:&quot;Pengaruh Financing to Deposit Ratio (FDR) dan Non Performing Financing (NPF) terhadap Return On Assets (Roa) Pada PT. BPRS Amanah Rabbaniah Periode 2015-2018|&quot;,&quot;author&quot;:[{&quot;family&quot;:&quot;Fathony&quot;,&quot;given&quot;:&quot;Aditya Achmad&quot;,&quot;parse-names&quot;:false,&quot;dropping-particle&quot;:&quot;&quot;,&quot;non-dropping-particle&quot;:&quot;&quot;},{&quot;family&quot;:&quot;Setiawan&quot;,&quot;given&quot;:&quot;Djodi&quot;,&quot;parse-names&quot;:false,&quot;dropping-particle&quot;:&quot;&quot;,&quot;non-dropping-particle&quot;:&quot;&quot;},{&quot;family&quot;:&quot;Wulansari&quot;,&quot;given&quot;:&quot;Eneng&quot;,&quot;parse-names&quot;:false,&quot;dropping-particle&quot;:&quot;&quot;,&quot;non-dropping-particle&quot;:&quot;&quot;}],&quot;URL&quot;:&quot;https://www.ruangguru.co.id/12-pengertian-akuntansi-secara-umum-dan-menurut-para-&quot;,&quot;issued&quot;:{&quot;date-parts&quot;:[[2021]]},&quot;container-title-short&quot;:&quot;&quot;},&quot;isTemporary&quot;:false}]},{&quot;citationID&quot;:&quot;MENDELEY_CITATION_a314219a-5c13-4db6-b624-e651bdd8ad3c&quot;,&quot;properties&quot;:{&quot;noteIndex&quot;:0},&quot;isEdited&quot;:false,&quot;manualOverride&quot;:{&quot;isManuallyOverridden&quot;:false,&quot;citeprocText&quot;:&quot;(Dwi Angraeni Berlina, 2019)&quot;,&quot;manualOverrideText&quot;:&quot;&quot;},&quot;citationTag&quot;:&quot;MENDELEY_CITATION_v3_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&quot;,&quot;citationItems&quot;:[{&quot;id&quot;:&quot;6f1acdd1-d4aa-3958-8cf9-c4a0498522a3&quot;,&quot;itemData&quot;:{&quot;type&quot;:&quot;article-journal&quot;,&quot;id&quot;:&quot;6f1acdd1-d4aa-3958-8cf9-c4a0498522a3&quot;,&quot;title&quot;:&quot;Analisis pengaruh NPF, FDD, Biaya Operasional terhadap Pendapatan Operasional dan Debt to Equity Ratio terhadap ROE pada Bank Umum Syariah di Indonesia 2016-2022&quot;,&quot;author&quot;:[{&quot;family&quot;:&quot;Dwi Angraeni Berlina&quot;,&quot;given&quot;:&quot;Widodo Saniman&quot;,&quot;parse-names&quot;:false,&quot;dropping-particle&quot;:&quot;&quot;,&quot;non-dropping-particle&quot;:&quot;&quot;}],&quot;container-title&quot;:&quot;Masharif al-Syariah&quot;,&quot;issued&quot;:{&quot;date-parts&quot;:[[2019]]},&quot;page&quot;:&quot;128-155&quot;,&quot;volume&quot;:&quot;7&quot;,&quot;container-title-short&quot;:&quot;&quot;},&quot;isTemporary&quot;:false}]},{&quot;citationID&quot;:&quot;MENDELEY_CITATION_a6cbd7d6-da7a-415a-bb08-32cd4129defd&quot;,&quot;properties&quot;:{&quot;noteIndex&quot;:0},&quot;isEdited&quot;:false,&quot;manualOverride&quot;:{&quot;isManuallyOverridden&quot;:false,&quot;citeprocText&quot;:&quot;(Adawiyah &amp;#38; Azifah, 2020)&quot;,&quot;manualOverrideText&quot;:&quot;&quot;},&quot;citationTag&quot;:&quot;MENDELEY_CITATION_v3_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&quot;,&quot;citationItems&quot;:[{&quot;id&quot;:&quot;0c6f6832-ed1c-3586-b81e-060da651c8b4&quot;,&quot;itemData&quot;:{&quot;type&quot;:&quot;article-journal&quot;,&quot;id&quot;:&quot;0c6f6832-ed1c-3586-b81e-060da651c8b4&quot;,&quot;title&quot;:&quot;FAKTOR-FAKTOR YANG MEMPENGARUHI LIKUIDITAS PADA BANK UMUM SYARIAH DI INDONESIA&quot;,&quot;author&quot;:[{&quot;family&quot;:&quot;Adawiyah&quot;,&quot;given&quot;:&quot;Nida Nusaibatul&quot;,&quot;parse-names&quot;:false,&quot;dropping-particle&quot;:&quot;&quot;,&quot;non-dropping-particle&quot;:&quot;&quot;},{&quot;family&quot;:&quot;Azifah&quot;,&quot;given&quot;:&quot;Nur&quot;,&quot;parse-names&quot;:false,&quot;dropping-particle&quot;:&quot;&quot;,&quot;non-dropping-particle&quot;:&quot;&quot;}],&quot;container-title&quot;:&quot;Jurnal Ilmiah Ekonomi Bisnis&quot;,&quot;DOI&quot;:&quot;10.35760/eb.2020.v25i3.2663&quot;,&quot;ISSN&quot;:&quot;0853-862X&quot;,&quot;issued&quot;:{&quot;date-parts&quot;:[[2020]]},&quot;page&quot;:&quot;238-248&quot;,&quot;abstract&quot;:&quot;Penelitian ini bertujuan untuk menganalisis faktor-faktor yang mempengaruhi likuiditas pada Bank Umum Syariah (BUS) di Indonesia. Penelitian ini menggunakan variabel Financing to Deposit Ratio (FDR) sebagai variabel dependen (variabel terikat) dan variabel independen (variabel bebas) meliputi Return On Asset (ROA), inflasi, dan Dana Pihak Ketiga (DPK). Bank Umum Syariah (BUS) di Indonesia terdiri dari 14 bank yang terdaftar pada Otoritas Jasa Keuangan (OJK). Teknik analisis menggunakan model regresi linier berganda. Uji hipotesis dilakukan melalui uji asumsi klasik untuk menguji model regresi, uji signifikansi parsial (Uji t) dan uji signifikansi simultan (Uji F). Hasil penelitian ini menunjukan bahwa secara parsial, variabel Return On Asset (ROA) dan Dana Pihak Ketiga (DPK) berpengaruh terhadap variabel Financing to Deposit Ratio (FDR), sedangkan variabel inflasi tidak terdapat pengaruh terhadap variabel Financing to Deposit Ratio (FDR). Secara Bersama-sama variabel Return On Asset (ROA), inflasi, dan Dana Pihak Ketiga (DPK) berpengaruh terhadap variabel Financing to Deposit Ratio (FDR).&quot;,&quot;publisher&quot;:&quot;Gunadarma University&quot;,&quot;issue&quot;:&quot;3&quot;,&quot;volume&quot;:&quot;2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Uni19</b:Tag>
    <b:SourceType>InternetSite</b:SourceType>
    <b:Guid>{B6F5C31C-4A7E-46E8-8571-A2F17DBCC648}</b:Guid>
    <b:Title>Sustainable Development Goals</b:Title>
    <b:Year>2019</b:Year>
    <b:Author>
      <b:Author>
        <b:Corporate>United Nations</b:Corporate>
      </b:Author>
    </b:Author>
    <b:InternetSiteTitle>Sustainable Development Goals Knowledge Platform</b:InternetSiteTitle>
    <b:Month>May</b:Month>
    <b:Day>29</b:Day>
    <b:URL>https://sustainabledevelopment.un.org/</b:URL>
    <b:YearAccessed>2019</b:YearAccessed>
    <b:MonthAccessed>May</b:MonthAccessed>
    <b:DayAccessed>29</b:DayAccessed>
    <b:RefOrder>1</b:RefOrder>
  </b:Source>
  <b:Source>
    <b:Tag>Sta18</b:Tag>
    <b:SourceType>InternetSite</b:SourceType>
    <b:Guid>{CF7FC66F-B884-4505-8869-64AE01709A15}</b:Guid>
    <b:Author>
      <b:Author>
        <b:Corporate>Statistics Indonesia</b:Corporate>
      </b:Author>
    </b:Author>
    <b:Title>Characteristics of Poor and Non-Poor Households, 2013-2017</b:Title>
    <b:InternetSiteTitle>Statistics Indonesia</b:InternetSiteTitle>
    <b:Year>2018</b:Year>
    <b:Month>September</b:Month>
    <b:Day>115</b:Day>
    <b:URL>https://www.bps.go.id/dynamictable/2015/09/19/908/karakteristik-rumah-tangga-miskin-dan-rumah-tangga-tidak-miskin-2013-2017.html</b:URL>
    <b:YearAccessed>2019</b:YearAccessed>
    <b:MonthAccessed>April</b:MonthAccessed>
    <b:DayAccessed>15</b:DayAccessed>
    <b:RefOrder>2</b:RefOrder>
  </b:Source>
  <b:Source>
    <b:Tag>Cha09</b:Tag>
    <b:SourceType>JournalArticle</b:SourceType>
    <b:Guid>{89C1BBC1-19FA-4A59-8DB4-C5F8F4CA47B6}</b:Guid>
    <b:Title>The Determinants of Women Empowerment in Southern Punjab (Pakistan): An Empirical Analysis</b:Title>
    <b:Year>2009</b:Year>
    <b:JournalName>European Journal of Social Sciences </b:JournalName>
    <b:Pages>216-229</b:Pages>
    <b:Author>
      <b:Author>
        <b:NameList>
          <b:Person>
            <b:Last>Chaudhry</b:Last>
            <b:First>Imran</b:First>
          </b:Person>
          <b:Person>
            <b:Last>Nosheen</b:Last>
            <b:First>F.</b:First>
          </b:Person>
        </b:NameList>
      </b:Author>
    </b:Author>
    <b:Volume>10</b:Volume>
    <b:Issue>2</b:Issue>
    <b:RefOrder>3</b:RefOrder>
  </b:Source>
  <b:Source>
    <b:Tag>Yun07</b:Tag>
    <b:SourceType>Book</b:SourceType>
    <b:Guid>{080E9E7B-F9DF-42E8-A99A-4ACEDDD7789D}</b:Guid>
    <b:Title>Bank Untuk Kaum Miskin. Terjemahan Irfan Nasution. Cetakan Pertama.</b:Title>
    <b:Year>2007</b:Year>
    <b:City>Jakarta</b:City>
    <b:Publisher>PT. Buku Kita</b:Publisher>
    <b:Author>
      <b:Author>
        <b:NameList>
          <b:Person>
            <b:Last>Yunus</b:Last>
            <b:First>Muhammad</b:First>
          </b:Person>
          <b:Person>
            <b:Last>Jollis</b:Last>
            <b:First>Alan</b:First>
          </b:Person>
        </b:NameList>
      </b:Author>
    </b:Author>
    <b:RefOrder>4</b:RefOrder>
  </b:Source>
  <b:Source>
    <b:Tag>Suk14</b:Tag>
    <b:SourceType>JournalArticle</b:SourceType>
    <b:Guid>{6CBD1B73-1948-45A0-9676-C1277380CB41}</b:Guid>
    <b:Title>Pemberdayaan Kelompok Perempuan dalam Pengentasan Kemiskinan Berbasis Pengembangan Usaha Mikro</b:Title>
    <b:Year>2014</b:Year>
    <b:JournalName>Jurnal Economica, Volume 10, No. 1</b:JournalName>
    <b:Author>
      <b:Author>
        <b:NameList>
          <b:Person>
            <b:Last>Sukidjo</b:Last>
            <b:First>Teguh</b:First>
            <b:Middle>Sihono</b:Middle>
          </b:Person>
          <b:Person>
            <b:Last>Mustofa</b:Last>
          </b:Person>
        </b:NameList>
      </b:Author>
    </b:Author>
    <b:RefOrder>5</b:RefOrder>
  </b:Source>
  <b:Source>
    <b:Tag>Whi10</b:Tag>
    <b:SourceType>JournalArticle</b:SourceType>
    <b:Guid>{29A5DF05-6B5C-4B61-9D0F-515CC9C9AC88}</b:Guid>
    <b:Title>Domains of Contestation: Women's Empowerment and Islam in Bangladesh </b:Title>
    <b:JournalName>Women's Studies International Forum, 33(4)</b:JournalName>
    <b:Year>2010</b:Year>
    <b:Pages>http://doi.org/10.1016/j.wsif.2010.02.007</b:Pages>
    <b:Author>
      <b:Author>
        <b:NameList>
          <b:Person>
            <b:Last>White</b:Last>
            <b:First>S. C</b:First>
          </b:Person>
        </b:NameList>
      </b:Author>
    </b:Author>
    <b:RefOrder>6</b:RefOrder>
  </b:Source>
  <b:Source>
    <b:Tag>SPa07</b:Tag>
    <b:SourceType>JournalArticle</b:SourceType>
    <b:Guid>{ED80F5B6-4A75-42CE-9AB5-F32CE0EA1F5A}</b:Guid>
    <b:Author>
      <b:Author>
        <b:NameList>
          <b:Person>
            <b:Last>Parveen</b:Last>
            <b:First>S.</b:First>
          </b:Person>
        </b:NameList>
      </b:Author>
    </b:Author>
    <b:Title>Gender Awareness of Rural Women in Bangladesh</b:Title>
    <b:JournalName>Journal of International Women's Studies, 9</b:JournalName>
    <b:Year>2007</b:Year>
    <b:Pages>253-270</b:Pages>
    <b:RefOrder>7</b:RefOrder>
  </b:Source>
  <b:Source>
    <b:Tag>Ama99</b:Tag>
    <b:SourceType>Book</b:SourceType>
    <b:Guid>{72C52F14-70A5-4086-AD5F-A7E1559CC624}</b:Guid>
    <b:Title>Poverty and Famines An Essay on Entitlement and Deprivation</b:Title>
    <b:Year>1999</b:Year>
    <b:Author>
      <b:Author>
        <b:NameList>
          <b:Person>
            <b:Last>Sen</b:Last>
            <b:First>Amartya</b:First>
          </b:Person>
        </b:NameList>
      </b:Author>
    </b:Author>
    <b:City>New York</b:City>
    <b:Publisher>Oxford University Press</b:Publisher>
    <b:RefOrder>8</b:RefOrder>
  </b:Source>
  <b:Source>
    <b:Tag>Kha11</b:Tag>
    <b:SourceType>JournalArticle</b:SourceType>
    <b:Guid>{02029B81-017B-4570-AB93-7AAAAF8FF3DE}</b:Guid>
    <b:Title>Women's Socio-Economic Empowerment Through Participatory Approach: A Critical Assessment</b:Title>
    <b:Year>2011</b:Year>
    <b:City>2011</b:City>
    <b:Author>
      <b:Author>
        <b:NameList>
          <b:Person>
            <b:Last>Khan</b:Last>
            <b:First>A.R</b:First>
          </b:Person>
          <b:Person>
            <b:Last>Bibi</b:Last>
            <b:First>Z.</b:First>
          </b:Person>
        </b:NameList>
      </b:Author>
    </b:Author>
    <b:JournalName>Pakistan Economic and Social Review, 49(1)</b:JournalName>
    <b:Pages>133-148</b:Pages>
    <b:RefOrder>9</b:RefOrder>
  </b:Source>
  <b:Source>
    <b:Tag>Mai</b:Tag>
    <b:SourceType>JournalArticle</b:SourceType>
    <b:Guid>{A5F75870-AD06-44C6-9CDF-B90E7ABB79A6}</b:Guid>
    <b:Title>Pemberdayaan Perempuan Miskin Pada Usaha Kecil di Pedesaann Melalui Layanan Lembaga Keuangan Mikro</b:Title>
    <b:JournalName>Jurnal Populasi 18 (1)</b:JournalName>
    <b:Author>
      <b:Author>
        <b:NameList>
          <b:Person>
            <b:Last>Maika</b:Last>
            <b:First>Amelia</b:First>
          </b:Person>
          <b:Person>
            <b:Last>Kiswanto</b:Last>
            <b:First>Eddy</b:First>
          </b:Person>
        </b:NameList>
      </b:Author>
    </b:Author>
    <b:Year>2007</b:Year>
    <b:Pages>ISSN: 0853-0262</b:Pages>
    <b:RefOrder>10</b:RefOrder>
  </b:Source>
  <b:Source>
    <b:Tag>Pau13</b:Tag>
    <b:SourceType>JournalArticle</b:SourceType>
    <b:Guid>{A5F6BD80-0142-4023-AAFD-00F1F2504781}</b:Guid>
    <b:Title>Empowering Women through Microfinance: Evidence from Tanzania</b:Title>
    <b:JournalName> ACRN Journal of Entrepreneurship Perspectives, Vol. 2 Issue 1</b:JournalName>
    <b:Year>2013</b:Year>
    <b:Pages>31-59</b:Pages>
    <b:Author>
      <b:Author>
        <b:NameList>
          <b:Person>
            <b:Last>Paul Kato</b:Last>
            <b:First>Mushumbusi</b:First>
          </b:Person>
          <b:Person>
            <b:Last>Kratzer</b:Last>
            <b:First>Jan</b:First>
          </b:Person>
        </b:NameList>
      </b:Author>
    </b:Author>
    <b:RefOrder>11</b:RefOrder>
  </b:Source>
  <b:Source>
    <b:Tag>Reh15</b:Tag>
    <b:SourceType>JournalArticle</b:SourceType>
    <b:Guid>{562DBBAE-8F7E-4B21-98D4-FC65046E3E26}</b:Guid>
    <b:Title>Role of Microfinance Institutions in Women Empowerment: A Case Study of Akhuwat Pakistan</b:Title>
    <b:JournalName>A Research Journal of South Asian Studies Vol. 30, No. 1</b:JournalName>
    <b:Year>2015</b:Year>
    <b:Pages>107-125</b:Pages>
    <b:Author>
      <b:Author>
        <b:NameList>
          <b:Person>
            <b:Last>Rehman</b:Last>
            <b:First>Huma</b:First>
          </b:Person>
        </b:NameList>
      </b:Author>
    </b:Author>
    <b:RefOrder>12</b:RefOrder>
  </b:Source>
  <b:Source>
    <b:Tag>MMi10</b:Tag>
    <b:SourceType>JournalArticle</b:SourceType>
    <b:Guid>{8CC3383D-7FC8-407E-9383-2DEE49E3C706}</b:Guid>
    <b:Author>
      <b:Author>
        <b:NameList>
          <b:Person>
            <b:Last>Rahman</b:Last>
            <b:First>M.</b:First>
            <b:Middle>Mizanur</b:Middle>
          </b:Person>
        </b:NameList>
      </b:Author>
    </b:Author>
    <b:Title>Islamic Microfinance Programme and Its Impacts on Rural Poverty Alleviation</b:Title>
    <b:JournalName>The International Journal of Banking and Finance, Vol. 7 Number 1</b:JournalName>
    <b:Year>2010</b:Year>
    <b:Pages>119-138</b:Pages>
    <b:RefOrder>13</b:RefOrder>
  </b:Source>
  <b:Source>
    <b:Tag>Dur11</b:Tag>
    <b:SourceType>JournalArticle</b:SourceType>
    <b:Guid>{20CADD7C-A31C-4FDF-A0AC-AC05A516C371}</b:Guid>
    <b:Title>Role of Micro Finance in Reducing Poverty: A Look at Social and Economic Factors</b:Title>
    <b:JournalName>International Journal of Business and Social Science Vol. 2 No. 21</b:JournalName>
    <b:Year>2011</b:Year>
    <b:Pages>138-144</b:Pages>
    <b:Author>
      <b:Author>
        <b:NameList>
          <b:Person>
            <b:Last>Durrani</b:Last>
            <b:Middle>Muhammad</b:Middle>
            <b:First>Kashif Khan</b:First>
          </b:Person>
          <b:Person>
            <b:Last>Usman</b:Last>
            <b:First>Abid</b:First>
          </b:Person>
          <b:Person>
            <b:Last>Malik</b:Last>
            <b:Middle>Imran</b:Middle>
            <b:First>Muhammad</b:First>
          </b:Person>
          <b:Person>
            <b:Last>Ahmad</b:Last>
            <b:First>Shafiq</b:First>
          </b:Person>
        </b:NameList>
      </b:Author>
    </b:Author>
    <b:RefOrder>14</b:RefOrder>
  </b:Source>
  <b:Source>
    <b:Tag>Sch11</b:Tag>
    <b:SourceType>JournalArticle</b:SourceType>
    <b:Guid>{350A7A62-03DB-4173-B354-8D486082C5C1}</b:Guid>
    <b:Title>Women in Self – Organized Group at Work : do They Promote Agency and Reduce Poverty?</b:Title>
    <b:JournalName>Journal of Managerial Psychology</b:JournalName>
    <b:Year>2011</b:Year>
    <b:Author>
      <b:Author>
        <b:NameList>
          <b:Person>
            <b:Last>Schein</b:Last>
            <b:Middle>E.</b:Middle>
            <b:First>Virginia</b:First>
          </b:Person>
          <b:Person>
            <b:Last>Marsella</b:Last>
            <b:Middle>J.</b:Middle>
            <b:First>Anthony</b:First>
          </b:Person>
          <b:Person>
            <b:Last>Wiesenfeld</b:Last>
            <b:First>Esther</b:First>
          </b:Person>
          <b:Person>
            <b:Last>Sanchez</b:Last>
            <b:First>Euclides</b:First>
          </b:Person>
          <b:Person>
            <b:Last>Berry</b:Last>
            <b:Middle>O'Neill</b:Middle>
            <b:First>Mary</b:First>
          </b:Person>
          <b:Person>
            <b:Last>Reichman</b:Last>
            <b:First>Walter</b:First>
          </b:Person>
        </b:NameList>
      </b:Author>
    </b:Author>
    <b:RefOrder>15</b:RefOrder>
  </b:Source>
  <b:Source>
    <b:Tag>EMS11</b:Tag>
    <b:SourceType>JournalArticle</b:SourceType>
    <b:Guid>{EADB527C-E23D-4B6B-9611-A39123C02855}</b:Guid>
    <b:Author>
      <b:Author>
        <b:NameList>
          <b:Person>
            <b:Last>Siringi</b:Last>
            <b:First>E.M</b:First>
          </b:Person>
        </b:NameList>
      </b:Author>
    </b:Author>
    <b:Title>Women’s small and medium enterprises for poverty alleviation in Sub-Saharan Africa Lessons from Kenya</b:Title>
    <b:JournalName>Management Research Review, Vol. 34 No. 2</b:JournalName>
    <b:Year>2011</b:Year>
    <b:Pages>186-206. DOI 10.1108/01409171111102803</b:Pages>
    <b:RefOrder>16</b:RefOrder>
  </b:Source>
  <b:Source>
    <b:Tag>Mah14</b:Tag>
    <b:SourceType>JournalArticle</b:SourceType>
    <b:Guid>{B9AA966C-1E36-4DA9-8519-83283FA4016E}</b:Guid>
    <b:Title>Optimal Microfinance Loan Size and Poverty Reduction Amongst Female Entrepreneurs in Pakistan</b:Title>
    <b:JournalName>Journal of Small Business and Enterprise Development, Volume 21 Issue 2</b:JournalName>
    <b:Year>2014</b:Year>
    <b:Author>
      <b:Author>
        <b:NameList>
          <b:Person>
            <b:Last>Mahmood</b:Last>
            <b:First>Samia</b:First>
          </b:Person>
          <b:Person>
            <b:Last>Hussain</b:Last>
            <b:First>Javed</b:First>
          </b:Person>
          <b:Person>
            <b:Last>Matlay</b:Last>
            <b:Middle>Z.</b:Middle>
            <b:First>Harry</b:First>
          </b:Person>
        </b:NameList>
      </b:Author>
    </b:Author>
    <b:RefOrder>17</b:RefOrder>
  </b:Source>
  <b:Source>
    <b:Tag>Mam10</b:Tag>
    <b:SourceType>JournalArticle</b:SourceType>
    <b:Guid>{413A7703-7678-44F0-AF52-7780B2B8072E}</b:Guid>
    <b:Title>Impact of Amanah Ikhtiar Malaysia's Microcredit Schemes on Microenterprise Assets in Malaysia.</b:Title>
    <b:JournalName>International Research Journal of Finance and Economic, No. 60</b:JournalName>
    <b:Year>2010</b:Year>
    <b:Pages>144-154</b:Pages>
    <b:Author>
      <b:Author>
        <b:NameList>
          <b:Person>
            <b:Last>Mamun</b:Last>
            <b:Middle>Al</b:Middle>
            <b:First>Abdullah</b:First>
          </b:Person>
          <b:Person>
            <b:Last>Wahab</b:Last>
            <b:Middle>Abdul</b:Middle>
            <b:First>Sazali</b:First>
          </b:Person>
          <b:Person>
            <b:Last>Malarvizhi</b:Last>
            <b:First>C.A</b:First>
          </b:Person>
        </b:NameList>
      </b:Author>
    </b:Author>
    <b:RefOrder>18</b:RefOrder>
  </b:Source>
  <b:Source>
    <b:Tag>Nav14</b:Tag>
    <b:SourceType>JournalArticle</b:SourceType>
    <b:Guid>{34ACA971-9649-4943-A63A-0E1F28DEBBB9}</b:Guid>
    <b:Author>
      <b:Author>
        <b:NameList>
          <b:Person>
            <b:Last>Aslam</b:Last>
            <b:First>Naved</b:First>
            <b:Middle>Muhammad</b:Middle>
          </b:Person>
        </b:NameList>
      </b:Author>
    </b:Author>
    <b:Title>Role of Islamic Microfinance in Poverty Alleviation in Pakistan: An Empirical Approach </b:Title>
    <b:JournalName>International Journal of Academic Research in Accounting, Finance and Management Sciences. Volume 4. No. 4</b:JournalName>
    <b:Year>2014</b:Year>
    <b:Pages>143-152</b:Pages>
    <b:RefOrder>19</b:RefOrder>
  </b:Source>
  <b:Source>
    <b:Tag>Haq11</b:Tag>
    <b:SourceType>JournalArticle</b:SourceType>
    <b:Guid>{D3A60312-CBF8-443C-921B-90DF23CEDAF0}</b:Guid>
    <b:Title>Women Empowerment or Autonomy : A Comparative View in Bangladesh Context</b:Title>
    <b:JournalName>Bangladesh e-Journal of Sociology, Volume 8, Number 2</b:JournalName>
    <b:Year>2011</b:Year>
    <b:Author>
      <b:Author>
        <b:NameList>
          <b:Person>
            <b:Last>Haque</b:Last>
            <b:Middle>Morshedul</b:Middle>
            <b:First>Md.</b:First>
          </b:Person>
          <b:Person>
            <b:Last>Islam</b:Last>
            <b:Middle>Mahfuza</b:Middle>
            <b:First>Towfiqua</b:First>
          </b:Person>
          <b:Person>
            <b:Last>Tareque</b:Last>
            <b:Middle>Ismail</b:Middle>
            <b:First>Md.</b:First>
          </b:Person>
          <b:Person>
            <b:Last>Mostofa</b:Last>
            <b:Middle>Golam</b:Middle>
            <b:First>Md. </b:First>
          </b:Person>
        </b:NameList>
      </b:Author>
    </b:Author>
    <b:RefOrder>20</b:RefOrder>
  </b:Source>
  <b:Source>
    <b:Tag>Pri22</b:Tag>
    <b:SourceType>JournalArticle</b:SourceType>
    <b:Guid>{3952F9B3-E3EF-4CE8-A0E2-5EA891264AE6}</b:Guid>
    <b:Title>The Mediating Influence of Motivation on Microcredit Training and Capital Creation</b:Title>
    <b:Year>2022</b:Year>
    <b:Author>
      <b:Author>
        <b:NameList>
          <b:Person>
            <b:Last>Prince</b:Last>
            <b:First>Skeikh</b:First>
            <b:Middle>Ashiqurrahman</b:Middle>
          </b:Person>
          <b:Person>
            <b:Last>Wahid</b:Last>
            <b:Middle>Saira</b:Middle>
            <b:First>Ishraat</b:First>
          </b:Person>
          <b:Person>
            <b:Last>Khan</b:Last>
            <b:Middle>T.A</b:Middle>
            <b:First>Hafiz</b:First>
          </b:Person>
        </b:NameList>
      </b:Author>
    </b:Author>
    <b:JournalName>Journal of Poverty</b:JournalName>
    <b:Pages>93-121</b:Pages>
    <b:RefOrder>21</b:RefOrder>
  </b:Source>
  <b:Source>
    <b:Tag>Irf15</b:Tag>
    <b:SourceType>Book</b:SourceType>
    <b:Guid>{4953A9C2-F9D9-42E5-92DC-40063965B862}</b:Guid>
    <b:Author>
      <b:Author>
        <b:NameList>
          <b:Person>
            <b:Last>Beik</b:Last>
            <b:First>Irfan</b:First>
            <b:Middle>Syauqi</b:Middle>
          </b:Person>
        </b:NameList>
      </b:Author>
    </b:Author>
    <b:Title>Economic Role Of Zakat in Reducing Poverty and Income Inequality : Case Study in The Province Of DkI Jakarta, Indonesia </b:Title>
    <b:Year>2015</b:Year>
    <b:City>Germany</b:City>
    <b:Publisher>LAP Lambert Academic Publishing</b:Publisher>
    <b:RefOrder>22</b:RefOrder>
  </b:Source>
  <b:Source>
    <b:Tag>Ser18</b:Tag>
    <b:SourceType>JournalArticle</b:SourceType>
    <b:Guid>{B322FDEB-54B4-4E09-8C63-4A3880139E63}</b:Guid>
    <b:Author>
      <b:Author>
        <b:NameList>
          <b:Person>
            <b:Last>Khalder</b:Last>
            <b:First>Serena</b:First>
          </b:Person>
        </b:NameList>
      </b:Author>
    </b:Author>
    <b:Title>Passive Empowerment: How Women's Agency Became Women Doing it All </b:Title>
    <b:JournalName>Philosopical Topics</b:JournalName>
    <b:Year>2018</b:Year>
    <b:Pages>141-164</b:Pages>
    <b:RefOrder>23</b:RefOrder>
  </b:Source>
  <b:Source>
    <b:Tag>Her21</b:Tag>
    <b:SourceType>JournalArticle</b:SourceType>
    <b:Guid>{D5EABE55-A370-4A4C-9764-E89D1BDDDDF5}</b:Guid>
    <b:Author>
      <b:Author>
        <b:NameList>
          <b:Person>
            <b:Last>Sudarsono</b:Last>
            <b:First>Heri</b:First>
          </b:Person>
        </b:NameList>
      </b:Author>
    </b:Author>
    <b:Title>Empowering The Head of Poor Women's Family in Efforts to Improve Welfare (Case Study for Empowering The Head of Poor Women's Family in Sidoarjo District</b:Title>
    <b:JournalName>Enrichment : Journal of Management</b:JournalName>
    <b:Year>2021</b:Year>
    <b:Pages>315-319</b:Pages>
    <b:RefOrder>24</b:RefOrder>
  </b:Source>
  <b:Source>
    <b:Tag>Nug17</b:Tag>
    <b:SourceType>ConferenceProceedings</b:SourceType>
    <b:Guid>{C0C14EB5-8C32-4884-AEB6-8AECE25B0E1E}</b:Guid>
    <b:Author>
      <b:Author>
        <b:NameList>
          <b:Person>
            <b:Last>Nugraha</b:Last>
            <b:First>Fajar</b:First>
          </b:Person>
          <b:Person>
            <b:Last>Gunawan</b:Last>
            <b:Middle>Rahmat</b:Middle>
            <b:First>Aditya</b:First>
          </b:Person>
        </b:NameList>
      </b:Author>
    </b:Author>
    <b:Title>Analysis of Women Participation in Effort to Increase The Family Income</b:Title>
    <b:Year>2017</b:Year>
    <b:Pages>533-545</b:Pages>
    <b:ConferenceName>The 1st International conference on Social Science</b:ConferenceName>
    <b:City>Jakarta</b:City>
    <b:Publisher>Universitas Muhamadiyah Jakarta</b:Publisher>
    <b:RefOrder>25</b:RefOrder>
  </b:Source>
  <b:Source>
    <b:Tag>Rav15</b:Tag>
    <b:SourceType>JournalArticle</b:SourceType>
    <b:Guid>{6D3E29CE-B068-4C1E-AD3B-C241BADD1BB5}</b:Guid>
    <b:Author>
      <b:Author>
        <b:NameList>
          <b:Person>
            <b:Last>Raven</b:Last>
            <b:First>Peter</b:First>
          </b:Person>
          <b:Person>
            <b:Last>Le</b:Last>
            <b:First>Quan</b:First>
            <b:Middle>V</b:Middle>
          </b:Person>
        </b:NameList>
      </b:Author>
    </b:Author>
    <b:Title>Teaching business skills to Women : Impact of Buisness Training on Women's Microenterprise Owners in Vietnam</b:Title>
    <b:Pages>622-641</b:Pages>
    <b:Year>2015</b:Year>
    <b:JournalName>International Journal of Entrepreneurial Behavior &amp; Research</b:JournalName>
    <b:RefOrder>26</b:RefOrder>
  </b:Source>
  <b:Source>
    <b:Tag>Yun21</b:Tag>
    <b:SourceType>JournalArticle</b:SourceType>
    <b:Guid>{BEF82165-1F28-4CDC-99B8-C973C8BEFA0D}</b:Guid>
    <b:Author>
      <b:Author>
        <b:NameList>
          <b:Person>
            <b:Last>Yuniati</b:Last>
            <b:First>Eny</b:First>
          </b:Person>
          <b:Person>
            <b:Last>Pratikto</b:Last>
            <b:First>Heri</b:First>
          </b:Person>
          <b:Person>
            <b:Last>Sopiah</b:Last>
          </b:Person>
        </b:NameList>
      </b:Author>
    </b:Author>
    <b:Title>Motivation of Women's Entrepreneurship As Agent of Change of Society : In Literature Review   </b:Title>
    <b:JournalName>International Journal of Economics, Business and Accounting Research (IJEBAR)</b:JournalName>
    <b:Year>2021</b:Year>
    <b:Pages>1190-1202</b:Pages>
    <b:RefOrder>27</b:RefOrder>
  </b:Source>
  <b:Source>
    <b:Tag>Min20</b:Tag>
    <b:SourceType>JournalArticle</b:SourceType>
    <b:Guid>{3B660819-437B-45E1-A6F9-570E17CDA2CE}</b:Guid>
    <b:Author>
      <b:Author>
        <b:NameList>
          <b:Person>
            <b:Last>Gupta</b:Last>
            <b:First>Minisha</b:First>
          </b:Person>
        </b:NameList>
      </b:Author>
    </b:Author>
    <b:Title>Role of NGOs in Women Empowerment : Case Studies from Uttarakhand, India </b:Title>
    <b:JournalName>Journal of Enterprising Communities : People and Place in The Global Economy</b:JournalName>
    <b:Year>2020</b:Year>
    <b:Pages>123-140</b:Pages>
    <b:RefOrder>28</b:RefOrder>
  </b:Source>
  <b:Source>
    <b:Tag>MdS21</b:Tag>
    <b:SourceType>JournalArticle</b:SourceType>
    <b:Guid>{59BDA951-A25A-4490-AF70-C26440D2BEEC}</b:Guid>
    <b:Author>
      <b:Author>
        <b:NameList>
          <b:Person>
            <b:Last>Islam</b:Last>
            <b:First>Md.</b:First>
            <b:Middle>Saiful</b:Middle>
          </b:Person>
        </b:NameList>
      </b:Author>
    </b:Author>
    <b:Title>Role of Islamic Microfinance in Women's Empowerment : Evidence from Rural Development Scheme of Islami Bank Bangladesh Limited</b:Title>
    <b:JournalName>ISRA International journal of Islamic Finance</b:JournalName>
    <b:Year>2021</b:Year>
    <b:Pages>26-45</b:Pages>
    <b:RefOrder>29</b:RefOrder>
  </b:Source>
  <b:Source>
    <b:Tag>Mar22</b:Tag>
    <b:SourceType>JournalArticle</b:SourceType>
    <b:Guid>{79F1619B-B704-4BA9-B5DF-77620B6A32A0}</b:Guid>
    <b:Title>Pro-Poor Capital Assistance : A Strategic Analysis of Baitul Maal Wat Tamwil (BMT) Microfinance</b:Title>
    <b:Year>2022</b:Year>
    <b:Author>
      <b:Author>
        <b:NameList>
          <b:Person>
            <b:Last>Martiana</b:Last>
            <b:First>Andri</b:First>
          </b:Person>
          <b:Person>
            <b:Last>Panena</b:Last>
            <b:Middle>Chessara Novada</b:Middle>
            <b:First>Zenza</b:First>
          </b:Person>
          <b:Person>
            <b:Last>Fuadi</b:Last>
            <b:Middle>Fahmi Zaki</b:Middle>
            <b:First>Nasrul</b:First>
          </b:Person>
        </b:NameList>
      </b:Author>
    </b:Author>
    <b:JournalName>Al-Uqud</b:JournalName>
    <b:Pages>1-16</b:Pages>
    <b:RefOrder>30</b:RefOrder>
  </b:Source>
  <b:Source>
    <b:Tag>Kab10</b:Tag>
    <b:SourceType>JournalArticle</b:SourceType>
    <b:Guid>{3F08F12B-31BB-4193-BFDF-244EC72BC5AB}</b:Guid>
    <b:Title>An Integrated Poverty Alleviation Model Combining Zakat, Waqf and Microfinance</b:Title>
    <b:Year>2010</b:Year>
    <b:Author>
      <b:Author>
        <b:NameList>
          <b:Person>
            <b:Last>Hasan</b:Last>
            <b:First>Kabir</b:First>
          </b:Person>
        </b:NameList>
      </b:Author>
    </b:Author>
    <b:JournalName>Seventh International Conference - The Tawhidi Epistemology: Zakat and Waqf Economy</b:JournalName>
    <b:RefOrder>31</b:RefOrder>
  </b:Source>
  <b:Source>
    <b:Tag>Fah16</b:Tag>
    <b:SourceType>JournalArticle</b:SourceType>
    <b:Guid>{D52A896B-0A31-4063-B0FA-1A03A5AA2FB4}</b:Guid>
    <b:Author>
      <b:Author>
        <b:NameList>
          <b:Person>
            <b:Last>Anis</b:Last>
            <b:First>Fahami</b:First>
            <b:Middle>Muhammad</b:Middle>
          </b:Person>
        </b:NameList>
      </b:Author>
    </b:Author>
    <b:Title>Effectiveness Of Zakat Based Programs On Poverty Alleviation and Economic Empowerment Of Poor Women : A Case Study of Bangladesh</b:Title>
    <b:JournalName>Journal of Islamic Monetary Economics and Finance</b:JournalName>
    <b:Year>2016</b:Year>
    <b:Pages>229-258</b:Pages>
    <b:RefOrder>32</b:RefOrder>
  </b:Source>
  <b:Source>
    <b:Tag>Nad17</b:Tag>
    <b:SourceType>JournalArticle</b:SourceType>
    <b:Guid>{2AB0B796-8D14-4440-86B5-72B163C28B48}</b:Guid>
    <b:Author>
      <b:Author>
        <b:NameList>
          <b:Person>
            <b:Last>Nadim</b:Last>
            <b:First>Shawkat</b:First>
            <b:Middle>Jahan</b:Middle>
          </b:Person>
          <b:Person>
            <b:Last>Nurlukman</b:Last>
            <b:Middle>Dwiyanto</b:Middle>
            <b:First>Adie</b:First>
          </b:Person>
        </b:NameList>
      </b:Author>
    </b:Author>
    <b:Title>The Impact of Women Empowerment on Poverty Reduction in Rural Area of Bangladesh : Focusing on Village Development Program</b:Title>
    <b:JournalName>Journal of Goverment &amp; Civil Society</b:JournalName>
    <b:Year>2017</b:Year>
    <b:Pages>135-157</b:Pages>
    <b:RefOrder>33</b:RefOrder>
  </b:Source>
  <b:Source>
    <b:Tag>KKu19</b:Tag>
    <b:SourceType>JournalArticle</b:SourceType>
    <b:Guid>{C7C6E4BF-ED32-4AEB-9C76-8FEC185DAC63}</b:Guid>
    <b:Author>
      <b:Author>
        <b:NameList>
          <b:Person>
            <b:Last>Kushardajani</b:Last>
            <b:First>K</b:First>
          </b:Person>
        </b:NameList>
      </b:Author>
    </b:Author>
    <b:Title>Social and Economic Empowerment for Village Women as a Strategy of Village Development</b:Title>
    <b:JournalName>The Indonesian Journal of Planning and Development</b:JournalName>
    <b:Year>2019</b:Year>
    <b:Pages>1-6</b:Pages>
    <b:RefOrder>34</b:RefOrder>
  </b:Source>
  <b:Source>
    <b:Tag>Tim16</b:Tag>
    <b:SourceType>Book</b:SourceType>
    <b:Guid>{627A5CFE-6382-401D-AE6D-E84FB732E6E3}</b:Guid>
    <b:Title>Buku Usaha Mikro Islami</b:Title>
    <b:Year>2016</b:Year>
    <b:Author>
      <b:Author>
        <b:NameList>
          <b:Person>
            <b:Last>Bank Indonesia</b:Last>
            <b:First>Tim Penulis</b:First>
          </b:Person>
        </b:NameList>
      </b:Author>
    </b:Author>
    <b:City>Jakarta</b:City>
    <b:Publisher>BI Institute</b:Publisher>
    <b:RefOrder>35</b:RefOrder>
  </b:Source>
  <b:Source>
    <b:Tag>Muh08</b:Tag>
    <b:SourceType>Book</b:SourceType>
    <b:Guid>{5097076E-5C57-4B6A-9EFF-9D18D5223A7B}</b:Guid>
    <b:Title>Menciptakan Dunia Tanpa Kemiskinan, Bagaimana Bisnis Sosial Mengubah Kehidupan Kita. Terjemahan Rani R. Moedirta. Cetakan Pertama</b:Title>
    <b:Year>2008</b:Year>
    <b:Author>
      <b:Author>
        <b:NameList>
          <b:Person>
            <b:Last>Yunus</b:Last>
            <b:First>Muhammad</b:First>
          </b:Person>
        </b:NameList>
      </b:Author>
    </b:Author>
    <b:City>Jakarta</b:City>
    <b:Publisher>PT. Gramedia Pustaka Utama</b:Publisher>
    <b:RefOrder>36</b:RefOrder>
  </b:Source>
  <b:Source>
    <b:Tag>Tho13</b:Tag>
    <b:SourceType>Book</b:SourceType>
    <b:Guid>{B1F340EB-C158-40D6-BCEC-B504911B6B85}</b:Guid>
    <b:Author>
      <b:Author>
        <b:NameList>
          <b:Person>
            <b:Last>Saaty</b:Last>
            <b:First>Thomas</b:First>
            <b:Middle>L.</b:Middle>
          </b:Person>
        </b:NameList>
      </b:Author>
    </b:Author>
    <b:Title>Theory and Application of The Analytical Network Process : Decision Making with Benefits, Opportunities, Costs and Risks </b:Title>
    <b:Year>2013</b:Year>
    <b:City>Pittsburg</b:City>
    <b:Publisher>RWS Publication</b:Publisher>
    <b:RefOrder>37</b:RefOrder>
  </b:Source>
  <b:Source>
    <b:Tag>Aam13</b:Tag>
    <b:SourceType>Book</b:SourceType>
    <b:Guid>{F8E2780F-FC52-44F7-B715-69087A22D6BA}</b:Guid>
    <b:Author>
      <b:Author>
        <b:NameList>
          <b:Person>
            <b:Last>Rusdiyana</b:Last>
            <b:First>Aam</b:First>
          </b:Person>
          <b:Person>
            <b:Last>Devi</b:Last>
            <b:First>Abrista</b:First>
          </b:Person>
        </b:NameList>
      </b:Author>
    </b:Author>
    <b:Title>Analytical Network Process Pendekatan Teoritis dan Praktis</b:Title>
    <b:Year>2013</b:Year>
    <b:City>Bogor</b:City>
    <b:Publisher>Smart Publishing</b:Publisher>
    <b:RefOrder>38</b:RefOrder>
  </b:Source>
  <b:Source>
    <b:Tag>Nis21</b:Tag>
    <b:SourceType>JournalArticle</b:SourceType>
    <b:Guid>{295AEBE3-40DA-43A2-8982-A879B9593B82}</b:Guid>
    <b:Title>Sharia Goverment-Owned Islamic Rural Bank During Covid-19 In Indonesia</b:Title>
    <b:Year>2021</b:Year>
    <b:Author>
      <b:Author>
        <b:NameList>
          <b:Person>
            <b:Last>Nisa Risa Zahrotun</b:Last>
            <b:First>Yunieta</b:First>
            <b:Middle>Anny Nainggolan and Taufikur Faturohman</b:Middle>
          </b:Person>
        </b:NameList>
      </b:Author>
    </b:Author>
    <b:JournalName>Jurnal Keuangan dan Perbankan</b:JournalName>
    <b:Pages>754-775</b:Pages>
    <b:RefOrder>1</b:RefOrder>
  </b:Source>
  <b:Source>
    <b:Tag>Ahm13</b:Tag>
    <b:SourceType>JournalArticle</b:SourceType>
    <b:Guid>{1E3EABA6-9ED1-4E33-BF51-3643D4D1F917}</b:Guid>
    <b:Author>
      <b:Author>
        <b:NameList>
          <b:Person>
            <b:Last>H</b:Last>
            <b:First>Ahmed</b:First>
          </b:Person>
        </b:NameList>
      </b:Author>
    </b:Author>
    <b:Title>Financial Inclusion and Islamic Finance: Organisational Formats, Products, Outreach, and Sustainability. In Economic Development and Islamic Finance, edited by Zamir Iqbal and Abbas Mirakhor</b:Title>
    <b:JournalName>The World Bank </b:JournalName>
    <b:Year>2013</b:Year>
    <b:Pages>203-29</b:Pages>
    <b:RefOrder>2</b:RefOrder>
  </b:Source>
  <b:Source xmlns:b="http://schemas.openxmlformats.org/officeDocument/2006/bibliography">
    <b:Tag>Hid12</b:Tag>
    <b:SourceType>JournalArticle</b:SourceType>
    <b:Guid>{49458E7D-DD79-4611-B0BE-CB5BCD190336}</b:Guid>
    <b:Author>
      <b:Author>
        <b:NameList>
          <b:Person>
            <b:Last>Hidayat</b:Last>
          </b:Person>
        </b:NameList>
      </b:Author>
    </b:Author>
    <b:Title>Does Financial Crisis Give Impacts on Bahrain Islamic Banking Performance? A Panel Regression Analysis</b:Title>
    <b:JournalName>International Journal of Economic and Finance</b:JournalName>
    <b:Year>2012</b:Year>
    <b:Pages>79-87</b:Pages>
    <b:RefOrder>3</b:RefOrder>
  </b:Source>
  <b:Source>
    <b:Tag>Sha20</b:Tag>
    <b:SourceType>JournalArticle</b:SourceType>
    <b:Guid>{29D08397-4EDC-4D5A-84D3-059296CF61C4}</b:Guid>
    <b:Author>
      <b:Author>
        <b:NameList>
          <b:Person>
            <b:Last>Shaharuddin</b:Last>
          </b:Person>
        </b:NameList>
      </b:Author>
    </b:Author>
    <b:Title>Do Islamic Banks Act ‘Islamic’ During COVID-19 Pandemic</b:Title>
    <b:JournalName>The Journal of Muamalat and Islamic Finance Research</b:JournalName>
    <b:Year>2020</b:Year>
    <b:Pages>3-12</b:Pages>
    <b:RefOrder>4</b:RefOrder>
  </b:Source>
</b:Sources>
</file>

<file path=customXml/itemProps1.xml><?xml version="1.0" encoding="utf-8"?>
<ds:datastoreItem xmlns:ds="http://schemas.openxmlformats.org/officeDocument/2006/customXml" ds:itemID="{32A43A71-1CEC-4177-B7BA-516195D9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21631</Words>
  <Characters>123300</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Syada Aryanto, Mukhzarudfa, Wira Lestari, Amirul Afif Muhamat: An analysis of factors that affect earnings quality on Islamic commercial banks: The case at Indonesia and Malaysia</vt:lpstr>
    </vt:vector>
  </TitlesOfParts>
  <Company/>
  <LinksUpToDate>false</LinksUpToDate>
  <CharactersWithSpaces>144642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Syada Aryanto, Mukhzarudfa, Wira Lestari, Amirul Afif Muhamat: An analysis of factors that affect earnings quality on Islamic commercial banks: The case at Indonesia and Malaysia</dc:title>
  <dc:subject/>
  <dc:creator>ariffajarnid</dc:creator>
  <cp:keywords/>
  <dc:description/>
  <cp:lastModifiedBy>ASUS</cp:lastModifiedBy>
  <cp:revision>60</cp:revision>
  <cp:lastPrinted>2025-01-18T05:40:00Z</cp:lastPrinted>
  <dcterms:created xsi:type="dcterms:W3CDTF">2025-01-18T05:52:00Z</dcterms:created>
  <dcterms:modified xsi:type="dcterms:W3CDTF">2025-01-18T06:52:00Z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bc05a43b-9f3a-3317-a6d8-8851aef64878</vt:lpwstr>
  </property>
  <property fmtid="{D5CDD505-2E9C-101B-9397-08002B2CF9AE}" pid="24" name="Mendeley Citation Style_1">
    <vt:lpwstr>http://www.zotero.org/styles/apa</vt:lpwstr>
  </property>
  <property fmtid="{D5CDD505-2E9C-101B-9397-08002B2CF9AE}" pid="25" name="ICV">
    <vt:lpwstr>99a65490a1de48f0ada50a54c6542afe</vt:lpwstr>
  </property>
</Properties>
</file>