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36" w:rsidRPr="00B145EB" w:rsidRDefault="004A1AD8" w:rsidP="00C508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EB">
        <w:rPr>
          <w:rFonts w:ascii="Times New Roman" w:hAnsi="Times New Roman" w:cs="Times New Roman"/>
          <w:b/>
          <w:sz w:val="24"/>
          <w:szCs w:val="24"/>
        </w:rPr>
        <w:t>HASIL VALIDITAS DAN RELIABILITAS INSTRUMEN PENELITIAN</w:t>
      </w:r>
    </w:p>
    <w:p w:rsidR="004A1AD8" w:rsidRPr="00B145EB" w:rsidRDefault="004A1AD8" w:rsidP="00C508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45E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Dede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Rusmana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(S991802001)</w:t>
      </w:r>
    </w:p>
    <w:p w:rsidR="004A1AD8" w:rsidRPr="00B145EB" w:rsidRDefault="004A1AD8" w:rsidP="00C508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1AD8" w:rsidRDefault="00C5089C" w:rsidP="00C5089C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45EB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14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</w:p>
    <w:p w:rsidR="00B145EB" w:rsidRPr="00B145EB" w:rsidRDefault="00B145EB" w:rsidP="00B145EB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45E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Instrumen</w:t>
      </w:r>
      <w:proofErr w:type="spellEnd"/>
    </w:p>
    <w:tbl>
      <w:tblPr>
        <w:tblW w:w="72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100"/>
        <w:gridCol w:w="840"/>
        <w:gridCol w:w="1600"/>
        <w:gridCol w:w="1160"/>
        <w:gridCol w:w="960"/>
      </w:tblGrid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Pernyataan</w:t>
            </w:r>
            <w:proofErr w:type="spellEnd"/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Hasil</w:t>
            </w:r>
            <w:proofErr w:type="spellEnd"/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Ket</w:t>
            </w:r>
            <w:proofErr w:type="spellEnd"/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Pernyataan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Hasil</w:t>
            </w:r>
            <w:proofErr w:type="spellEnd"/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Ket</w:t>
            </w:r>
            <w:proofErr w:type="spellEnd"/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0,811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54</w:t>
            </w:r>
          </w:p>
        </w:tc>
        <w:tc>
          <w:tcPr>
            <w:tcW w:w="11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0,852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0,721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55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0,782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0,693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56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0,742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57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0,690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0,850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58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0,696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0,846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59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60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0,767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0,770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61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0,727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0,866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62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0,828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63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0,801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64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0,792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65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0,751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0,881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66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0,697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67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0,808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68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0,634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0,723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69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0,719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0,620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70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18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71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0,809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72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0,849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0,786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73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0,784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74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0,746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0,768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75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0,837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0,702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76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0,841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0,818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77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78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0,855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79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0,779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80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0,734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28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81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29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0,786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82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0,811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0,838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83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84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0,895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85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0,706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0,795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86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0,752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0,824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87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0,833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88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0,870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0,798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89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0,744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0,779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90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0,671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38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0,830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91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39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0,775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92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0,808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0,759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93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0,813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94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0,833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95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43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0,860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96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0,690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0,873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97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0,863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45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0,834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98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0,820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46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0,793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99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0,811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47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0,782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100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0,725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48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0,840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101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0,808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49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0,810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102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0,759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50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0,870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103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0,809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51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0,867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104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0,833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52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0,853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105</w:t>
            </w:r>
          </w:p>
        </w:tc>
        <w:tc>
          <w:tcPr>
            <w:tcW w:w="11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0,788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</w:tr>
      <w:tr w:rsidR="00B145EB" w:rsidRPr="00B145EB" w:rsidTr="00B145EB">
        <w:trPr>
          <w:trHeight w:val="300"/>
          <w:jc w:val="center"/>
        </w:trPr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>Pernyataan</w:t>
            </w:r>
            <w:proofErr w:type="spellEnd"/>
            <w:r w:rsidRPr="00B145EB">
              <w:rPr>
                <w:rFonts w:ascii="Times New Roman" w:eastAsia="Times New Roman" w:hAnsi="Times New Roman" w:cs="Times New Roman"/>
                <w:color w:val="000000"/>
              </w:rPr>
              <w:t xml:space="preserve"> 53</w:t>
            </w:r>
          </w:p>
        </w:tc>
        <w:tc>
          <w:tcPr>
            <w:tcW w:w="1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0,854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45EB">
              <w:rPr>
                <w:rFonts w:ascii="Times New Roman" w:eastAsia="Times New Roman" w:hAnsi="Times New Roman" w:cs="Times New Roman"/>
                <w:color w:val="000000"/>
              </w:rPr>
              <w:t>Valid</w:t>
            </w: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145EB" w:rsidRPr="00B145EB" w:rsidRDefault="00B145EB" w:rsidP="00B145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145EB" w:rsidRPr="00B145EB" w:rsidRDefault="00B145EB" w:rsidP="00B145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AB3" w:rsidRDefault="002B7AB3" w:rsidP="002B7AB3">
      <w:pPr>
        <w:tabs>
          <w:tab w:val="left" w:pos="2835"/>
        </w:tabs>
        <w:spacing w:line="36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5EB"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</w:t>
      </w:r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</w:t>
      </w:r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</w:t>
      </w:r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N=30</w:t>
      </w:r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tara</w:t>
      </w:r>
      <w:r w:rsidR="00B2338E" w:rsidRPr="00B145EB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5%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R=0</w:t>
      </w:r>
      <w:proofErr w:type="gramStart"/>
      <w:r w:rsidR="00B2338E" w:rsidRPr="00B145EB">
        <w:rPr>
          <w:rFonts w:ascii="Times New Roman" w:hAnsi="Times New Roman" w:cs="Times New Roman"/>
          <w:sz w:val="24"/>
          <w:szCs w:val="24"/>
        </w:rPr>
        <w:t>,36</w:t>
      </w:r>
      <w:proofErr w:type="gram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</w:t>
      </w:r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</w:t>
      </w:r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0,36</w:t>
      </w:r>
      <w:r w:rsidRPr="00B145EB">
        <w:rPr>
          <w:rFonts w:ascii="Times New Roman" w:hAnsi="Times New Roman" w:cs="Times New Roman"/>
          <w:sz w:val="24"/>
          <w:szCs w:val="24"/>
        </w:rPr>
        <w:t>.</w:t>
      </w:r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>,</w:t>
      </w:r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“valid”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</w:t>
      </w:r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B145E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yang</w:t>
      </w:r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2338E" w:rsidRPr="00B145EB">
        <w:rPr>
          <w:rFonts w:ascii="Times New Roman" w:hAnsi="Times New Roman" w:cs="Times New Roman"/>
          <w:sz w:val="24"/>
          <w:szCs w:val="24"/>
        </w:rPr>
        <w:t xml:space="preserve"> 105 </w:t>
      </w:r>
      <w:proofErr w:type="spellStart"/>
      <w:r w:rsidR="00B2338E" w:rsidRPr="00B14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5EB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B145EB">
        <w:rPr>
          <w:rFonts w:ascii="Times New Roman" w:hAnsi="Times New Roman" w:cs="Times New Roman"/>
          <w:sz w:val="24"/>
          <w:szCs w:val="24"/>
        </w:rPr>
        <w:t>.</w:t>
      </w:r>
    </w:p>
    <w:p w:rsidR="00B145EB" w:rsidRDefault="00B145EB" w:rsidP="00B145EB">
      <w:pPr>
        <w:pStyle w:val="ListParagraph"/>
        <w:numPr>
          <w:ilvl w:val="0"/>
          <w:numId w:val="1"/>
        </w:numPr>
        <w:tabs>
          <w:tab w:val="left" w:pos="2835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</w:p>
    <w:p w:rsidR="00B145EB" w:rsidRDefault="008410B3" w:rsidP="008410B3">
      <w:pPr>
        <w:pStyle w:val="ListParagraph"/>
        <w:tabs>
          <w:tab w:val="left" w:pos="1134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50C">
        <w:rPr>
          <w:rFonts w:ascii="Times New Roman" w:hAnsi="Times New Roman" w:cs="Times New Roman"/>
          <w:i/>
          <w:sz w:val="24"/>
          <w:szCs w:val="24"/>
        </w:rPr>
        <w:t>cronbach’s</w:t>
      </w:r>
      <w:proofErr w:type="spellEnd"/>
      <w:r w:rsidRPr="0020450C">
        <w:rPr>
          <w:rFonts w:ascii="Times New Roman" w:hAnsi="Times New Roman" w:cs="Times New Roman"/>
          <w:i/>
          <w:sz w:val="24"/>
          <w:szCs w:val="24"/>
        </w:rPr>
        <w:t xml:space="preserve"> alpha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50C">
        <w:rPr>
          <w:rFonts w:ascii="Times New Roman" w:hAnsi="Times New Roman" w:cs="Times New Roman"/>
          <w:i/>
          <w:sz w:val="24"/>
          <w:szCs w:val="24"/>
        </w:rPr>
        <w:t>cronbach’s</w:t>
      </w:r>
      <w:proofErr w:type="spellEnd"/>
      <w:r w:rsidRPr="0020450C">
        <w:rPr>
          <w:rFonts w:ascii="Times New Roman" w:hAnsi="Times New Roman" w:cs="Times New Roman"/>
          <w:i/>
          <w:sz w:val="24"/>
          <w:szCs w:val="24"/>
        </w:rPr>
        <w:t xml:space="preserve"> alpha</w:t>
      </w:r>
      <w:r>
        <w:rPr>
          <w:rFonts w:ascii="Times New Roman" w:hAnsi="Times New Roman" w:cs="Times New Roman"/>
          <w:i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,60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410B3" w:rsidRPr="008410B3" w:rsidRDefault="008410B3" w:rsidP="008410B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</w:p>
    <w:tbl>
      <w:tblPr>
        <w:tblW w:w="3484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747"/>
        <w:gridCol w:w="792"/>
      </w:tblGrid>
      <w:tr w:rsidR="008410B3" w:rsidRPr="008410B3" w:rsidTr="008410B3">
        <w:trPr>
          <w:gridAfter w:val="1"/>
          <w:wAfter w:w="792" w:type="dxa"/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10B3" w:rsidRPr="008410B3" w:rsidRDefault="008410B3" w:rsidP="008410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10B3" w:rsidRPr="008410B3" w:rsidTr="008410B3">
        <w:trPr>
          <w:cantSplit/>
        </w:trPr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410B3" w:rsidRPr="008410B3" w:rsidRDefault="008410B3" w:rsidP="008410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proofErr w:type="spellStart"/>
            <w:r w:rsidRPr="008410B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Cronbach's</w:t>
            </w:r>
            <w:proofErr w:type="spellEnd"/>
            <w:r w:rsidRPr="008410B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Alpha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410B3" w:rsidRPr="008410B3" w:rsidRDefault="008410B3" w:rsidP="008410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8410B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 of Items</w:t>
            </w:r>
          </w:p>
        </w:tc>
      </w:tr>
      <w:tr w:rsidR="008410B3" w:rsidRPr="008410B3" w:rsidTr="008410B3">
        <w:trPr>
          <w:cantSplit/>
        </w:trPr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0B3" w:rsidRPr="008410B3" w:rsidRDefault="008410B3" w:rsidP="008410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0,</w:t>
            </w:r>
            <w:r w:rsidRPr="008410B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987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10B3" w:rsidRPr="008410B3" w:rsidRDefault="008410B3" w:rsidP="008410B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8410B3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105</w:t>
            </w:r>
          </w:p>
        </w:tc>
      </w:tr>
    </w:tbl>
    <w:p w:rsidR="008410B3" w:rsidRPr="008410B3" w:rsidRDefault="008410B3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410B3" w:rsidRDefault="008410B3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50C">
        <w:rPr>
          <w:rFonts w:ascii="Times New Roman" w:hAnsi="Times New Roman" w:cs="Times New Roman"/>
          <w:i/>
          <w:sz w:val="24"/>
          <w:szCs w:val="24"/>
        </w:rPr>
        <w:t>cronbach’s</w:t>
      </w:r>
      <w:proofErr w:type="spellEnd"/>
      <w:r w:rsidRPr="0020450C">
        <w:rPr>
          <w:rFonts w:ascii="Times New Roman" w:hAnsi="Times New Roman" w:cs="Times New Roman"/>
          <w:i/>
          <w:sz w:val="24"/>
          <w:szCs w:val="24"/>
        </w:rPr>
        <w:t xml:space="preserve"> alpha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,60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  </w:t>
      </w: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pStyle w:val="ListParagraph"/>
        <w:tabs>
          <w:tab w:val="left" w:pos="2835"/>
        </w:tabs>
        <w:spacing w:line="360" w:lineRule="auto"/>
        <w:ind w:left="426" w:firstLine="632"/>
        <w:jc w:val="both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B965F5">
      <w:pPr>
        <w:pStyle w:val="ListParagraph"/>
        <w:numPr>
          <w:ilvl w:val="0"/>
          <w:numId w:val="1"/>
        </w:numPr>
        <w:tabs>
          <w:tab w:val="left" w:pos="2835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65F5"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 w:rsidRPr="00B96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5F5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96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5F5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</w:p>
    <w:p w:rsidR="00B965F5" w:rsidRPr="00B965F5" w:rsidRDefault="00B965F5" w:rsidP="00B965F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Estimates (Group number 1 - Default model)</w:t>
      </w:r>
    </w:p>
    <w:p w:rsidR="00B965F5" w:rsidRPr="00B965F5" w:rsidRDefault="00B965F5" w:rsidP="00B965F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Scalar Estimates (Group number 1 - Default model)</w:t>
      </w:r>
    </w:p>
    <w:p w:rsidR="00B965F5" w:rsidRPr="00B965F5" w:rsidRDefault="00B965F5" w:rsidP="00B965F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Maximum Likelihood Estimates</w:t>
      </w:r>
    </w:p>
    <w:p w:rsidR="00B965F5" w:rsidRPr="00B965F5" w:rsidRDefault="00B965F5" w:rsidP="00B965F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Regression Weights: (Group number 1 - Default model)</w:t>
      </w:r>
    </w:p>
    <w:tbl>
      <w:tblPr>
        <w:tblW w:w="0" w:type="auto"/>
        <w:tblInd w:w="9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490"/>
        <w:gridCol w:w="934"/>
        <w:gridCol w:w="1120"/>
        <w:gridCol w:w="700"/>
        <w:gridCol w:w="940"/>
        <w:gridCol w:w="700"/>
        <w:gridCol w:w="827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VarM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6.951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VarM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.647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7.454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3.296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VarM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.582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9.227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X1.6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X1.5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14.245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X1.4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14.311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X1.3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1.649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14.003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X1.2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13.722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X1.1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VarX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12.569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M1.1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VarM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M1.2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VarM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11.563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M1.3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VarM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13.522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M1.4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VarM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13.135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Y2.1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Y2.2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7.284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Y2.3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8.335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Y2.4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.956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9.031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Y2.5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1.142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8.269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Y1.1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Y1.2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1.126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10.322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Y1.3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.632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9.522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Y1.4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1.560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10.563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Y1.5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.644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7.509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5F5" w:rsidRPr="00B965F5" w:rsidTr="00B965F5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Y1.6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VarY1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.653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9.486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65F5" w:rsidRPr="00B965F5" w:rsidRDefault="00B965F5" w:rsidP="00B965F5">
      <w:pPr>
        <w:pStyle w:val="ListParagraph"/>
        <w:tabs>
          <w:tab w:val="left" w:pos="2835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410B3" w:rsidRDefault="008410B3" w:rsidP="008410B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410B3" w:rsidRPr="008410B3" w:rsidRDefault="008410B3" w:rsidP="008410B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410B3" w:rsidRDefault="008410B3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Model Fit Summary</w:t>
      </w:r>
    </w:p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1"/>
        <w:gridCol w:w="1180"/>
        <w:gridCol w:w="640"/>
        <w:gridCol w:w="700"/>
        <w:gridCol w:w="1281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CMIN/DF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533.842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2.901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3645.732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17.361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40"/>
        <w:gridCol w:w="820"/>
        <w:gridCol w:w="841"/>
        <w:gridCol w:w="801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PGFI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1.113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.762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.646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16.710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.158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0"/>
        <w:gridCol w:w="720"/>
        <w:gridCol w:w="920"/>
        <w:gridCol w:w="720"/>
        <w:gridCol w:w="820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NFI</w:t>
            </w: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RFI</w:t>
            </w: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TLI</w:t>
            </w: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CFI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.898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47"/>
        <w:gridCol w:w="801"/>
        <w:gridCol w:w="787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PCFI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.876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.748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.787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80"/>
        <w:gridCol w:w="1180"/>
        <w:gridCol w:w="1180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349.842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284.472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422.849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3435.732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3243.565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3635.210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40"/>
        <w:gridCol w:w="940"/>
        <w:gridCol w:w="940"/>
        <w:gridCol w:w="940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2.554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1.674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1.361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2.023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17.444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16.439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15.519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17.393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07"/>
        <w:gridCol w:w="900"/>
        <w:gridCol w:w="834"/>
        <w:gridCol w:w="1174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PCLOSE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.095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.280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.272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.288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80"/>
        <w:gridCol w:w="1180"/>
        <w:gridCol w:w="1180"/>
        <w:gridCol w:w="1180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CAIC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627.842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638.901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785.157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832.157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462.000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516.353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1235.182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1466.182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3687.732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3692.673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3758.021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3779.021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40"/>
        <w:gridCol w:w="940"/>
        <w:gridCol w:w="940"/>
        <w:gridCol w:w="1054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MECVI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3.004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2.691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3.353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3.057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2.211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2.211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2.211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2.471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17.645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16.725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18.599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17.668</w:t>
            </w:r>
          </w:p>
        </w:tc>
      </w:tr>
    </w:tbl>
    <w:p w:rsidR="00B965F5" w:rsidRPr="00B965F5" w:rsidRDefault="00B965F5" w:rsidP="00B965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965F5">
        <w:rPr>
          <w:rFonts w:ascii="Times New Roman" w:eastAsia="Times New Roman" w:hAnsi="Times New Roman" w:cs="Times New Roman"/>
          <w:b/>
          <w:bCs/>
          <w:sz w:val="20"/>
          <w:szCs w:val="20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374"/>
        <w:gridCol w:w="1374"/>
      </w:tblGrid>
      <w:tr w:rsidR="00B965F5" w:rsidRPr="00B965F5" w:rsidTr="00B965F5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HOELTER</w:t>
            </w: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HOELTER</w:t>
            </w: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.01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965F5" w:rsidRPr="00B965F5" w:rsidTr="00B965F5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B965F5" w:rsidRPr="00B965F5" w:rsidRDefault="00B965F5" w:rsidP="00B96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5F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965F5" w:rsidRPr="008410B3" w:rsidRDefault="00B965F5" w:rsidP="008410B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A1AD8" w:rsidRPr="00B145EB" w:rsidRDefault="004B284D" w:rsidP="004B284D">
      <w:pPr>
        <w:tabs>
          <w:tab w:val="left" w:pos="1134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B72A0A" wp14:editId="0F401A0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AD8" w:rsidRPr="00B145EB" w:rsidSect="004A1A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7750"/>
    <w:multiLevelType w:val="hybridMultilevel"/>
    <w:tmpl w:val="1382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D8"/>
    <w:rsid w:val="002B7AB3"/>
    <w:rsid w:val="003D5CA6"/>
    <w:rsid w:val="004A1AD8"/>
    <w:rsid w:val="004B284D"/>
    <w:rsid w:val="00692A36"/>
    <w:rsid w:val="008410B3"/>
    <w:rsid w:val="00B145EB"/>
    <w:rsid w:val="00B2338E"/>
    <w:rsid w:val="00B965F5"/>
    <w:rsid w:val="00C5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53E7F-D945-41B9-82AA-F5676584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965F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89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965F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5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2019-04-24T08:40:00Z</dcterms:created>
  <dcterms:modified xsi:type="dcterms:W3CDTF">2019-08-26T14:30:00Z</dcterms:modified>
</cp:coreProperties>
</file>