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923" w:rsidRPr="00C86C4E" w:rsidRDefault="00296ECA" w:rsidP="00296ECA">
      <w:pPr>
        <w:pBdr>
          <w:top w:val="nil"/>
          <w:left w:val="nil"/>
          <w:bottom w:val="nil"/>
          <w:right w:val="nil"/>
          <w:between w:val="nil"/>
        </w:pBdr>
        <w:spacing w:line="240" w:lineRule="auto"/>
        <w:ind w:right="-154"/>
        <w:jc w:val="both"/>
        <w:rPr>
          <w:rFonts w:ascii="Constantia" w:eastAsia="Constantia" w:hAnsi="Constantia" w:cs="Constantia"/>
          <w:b/>
          <w:color w:val="000000"/>
          <w:sz w:val="28"/>
          <w:szCs w:val="28"/>
        </w:rPr>
      </w:pPr>
      <w:r w:rsidRPr="00296ECA">
        <w:rPr>
          <w:rFonts w:ascii="Constantia" w:eastAsia="Constantia" w:hAnsi="Constantia" w:cs="Constantia"/>
          <w:b/>
          <w:color w:val="000000"/>
          <w:sz w:val="28"/>
          <w:szCs w:val="28"/>
        </w:rPr>
        <w:t>Global Citizenship Education: Urgency and Strategy Forming Inclusive Global Citizen</w:t>
      </w:r>
    </w:p>
    <w:p w:rsidR="006621CA" w:rsidRPr="00C86C4E" w:rsidRDefault="00296ECA" w:rsidP="00244D14">
      <w:pPr>
        <w:pBdr>
          <w:top w:val="nil"/>
          <w:left w:val="nil"/>
          <w:bottom w:val="nil"/>
          <w:right w:val="nil"/>
          <w:between w:val="nil"/>
        </w:pBdr>
        <w:spacing w:line="240" w:lineRule="auto"/>
        <w:rPr>
          <w:rFonts w:ascii="Constantia" w:eastAsia="Constantia" w:hAnsi="Constantia"/>
          <w:b/>
          <w:color w:val="000000"/>
        </w:rPr>
      </w:pPr>
      <w:r>
        <w:rPr>
          <w:rFonts w:ascii="Constantia" w:eastAsia="Constantia" w:hAnsi="Constantia"/>
          <w:b/>
          <w:color w:val="000000"/>
        </w:rPr>
        <w:t>Fitria Anjar Sari</w:t>
      </w:r>
      <w:r w:rsidR="00244D14" w:rsidRPr="00C86C4E">
        <w:rPr>
          <w:rFonts w:ascii="Constantia" w:eastAsia="Constantia" w:hAnsi="Constantia"/>
          <w:b/>
          <w:color w:val="000000"/>
        </w:rPr>
        <w:t xml:space="preserve"> </w:t>
      </w:r>
      <w:r w:rsidR="00244D14" w:rsidRPr="00296ECA">
        <w:rPr>
          <w:rFonts w:ascii="Times New Roman" w:eastAsia="Constantia" w:hAnsi="Times New Roman"/>
          <w:bCs/>
          <w:color w:val="000000"/>
          <w:vertAlign w:val="superscript"/>
        </w:rPr>
        <w:t>a1</w:t>
      </w:r>
      <w:r w:rsidR="00244D14" w:rsidRPr="00C86C4E">
        <w:rPr>
          <w:rFonts w:ascii="Constantia" w:eastAsia="Constantia" w:hAnsi="Constantia"/>
          <w:bCs/>
          <w:color w:val="000000"/>
          <w:vertAlign w:val="superscript"/>
        </w:rPr>
        <w:t>*</w:t>
      </w:r>
    </w:p>
    <w:p w:rsidR="00244D14" w:rsidRPr="00296ECA" w:rsidRDefault="00244D14" w:rsidP="002E460D">
      <w:pPr>
        <w:pBdr>
          <w:top w:val="nil"/>
          <w:left w:val="nil"/>
          <w:bottom w:val="nil"/>
          <w:right w:val="nil"/>
          <w:between w:val="nil"/>
        </w:pBdr>
        <w:spacing w:after="0" w:line="240" w:lineRule="auto"/>
        <w:rPr>
          <w:rFonts w:ascii="Times New Roman" w:eastAsia="Constantia" w:hAnsi="Times New Roman"/>
          <w:color w:val="000000"/>
          <w:sz w:val="20"/>
          <w:szCs w:val="20"/>
        </w:rPr>
      </w:pPr>
      <w:r w:rsidRPr="00296ECA">
        <w:rPr>
          <w:rFonts w:ascii="Times New Roman" w:eastAsia="Constantia" w:hAnsi="Times New Roman"/>
          <w:color w:val="000000"/>
          <w:sz w:val="20"/>
          <w:szCs w:val="20"/>
        </w:rPr>
        <w:t xml:space="preserve">a </w:t>
      </w:r>
      <w:proofErr w:type="spellStart"/>
      <w:r w:rsidR="00296ECA">
        <w:rPr>
          <w:rFonts w:ascii="Times New Roman" w:eastAsia="Constantia" w:hAnsi="Times New Roman"/>
          <w:color w:val="000000"/>
          <w:sz w:val="20"/>
          <w:szCs w:val="20"/>
        </w:rPr>
        <w:t>Brawijaya</w:t>
      </w:r>
      <w:proofErr w:type="spellEnd"/>
      <w:r w:rsidR="00296ECA">
        <w:rPr>
          <w:rFonts w:ascii="Times New Roman" w:eastAsia="Constantia" w:hAnsi="Times New Roman"/>
          <w:color w:val="000000"/>
          <w:sz w:val="20"/>
          <w:szCs w:val="20"/>
        </w:rPr>
        <w:t xml:space="preserve"> University</w:t>
      </w:r>
    </w:p>
    <w:p w:rsidR="00C43F04" w:rsidRPr="00296ECA" w:rsidRDefault="00C43F04" w:rsidP="00C43F04">
      <w:pPr>
        <w:pBdr>
          <w:top w:val="nil"/>
          <w:left w:val="nil"/>
          <w:bottom w:val="nil"/>
          <w:right w:val="nil"/>
          <w:between w:val="nil"/>
        </w:pBdr>
        <w:spacing w:line="240" w:lineRule="auto"/>
        <w:rPr>
          <w:rFonts w:ascii="Times New Roman" w:eastAsia="Constantia" w:hAnsi="Times New Roman"/>
          <w:sz w:val="20"/>
          <w:szCs w:val="20"/>
        </w:rPr>
      </w:pPr>
      <w:hyperlink r:id="rId9" w:history="1">
        <w:r w:rsidRPr="00296ECA">
          <w:rPr>
            <w:rStyle w:val="Hyperlink"/>
            <w:rFonts w:ascii="Times New Roman" w:eastAsia="Constantia" w:hAnsi="Times New Roman"/>
            <w:color w:val="auto"/>
            <w:sz w:val="20"/>
            <w:szCs w:val="20"/>
            <w:u w:val="none"/>
          </w:rPr>
          <w:t>*</w:t>
        </w:r>
        <w:r w:rsidR="00296ECA" w:rsidRPr="00296ECA">
          <w:rPr>
            <w:rStyle w:val="Hyperlink"/>
            <w:rFonts w:ascii="Times New Roman" w:eastAsia="Constantia" w:hAnsi="Times New Roman"/>
            <w:color w:val="auto"/>
            <w:sz w:val="20"/>
            <w:szCs w:val="20"/>
            <w:u w:val="none"/>
          </w:rPr>
          <w:t>fitriaanjarsari@upi.edu</w:t>
        </w:r>
      </w:hyperlink>
      <w:r w:rsidR="002E460D" w:rsidRPr="00296ECA">
        <w:rPr>
          <w:rFonts w:ascii="Times New Roman" w:hAnsi="Times New Roman"/>
        </w:rPr>
        <w:t xml:space="preserve"> </w:t>
      </w:r>
      <w:r w:rsidR="002E460D" w:rsidRPr="00296ECA">
        <w:rPr>
          <w:rFonts w:ascii="Times New Roman" w:hAnsi="Times New Roman"/>
          <w:vertAlign w:val="superscript"/>
        </w:rPr>
        <w:t>a1*</w:t>
      </w:r>
    </w:p>
    <w:p w:rsidR="00C43F04" w:rsidRPr="00296ECA" w:rsidRDefault="002C6091" w:rsidP="00C43F04">
      <w:pPr>
        <w:pBdr>
          <w:top w:val="nil"/>
          <w:left w:val="nil"/>
          <w:bottom w:val="nil"/>
          <w:right w:val="nil"/>
          <w:between w:val="nil"/>
        </w:pBdr>
        <w:spacing w:line="240" w:lineRule="auto"/>
        <w:rPr>
          <w:rFonts w:ascii="Times New Roman" w:eastAsia="Constantia" w:hAnsi="Times New Roman"/>
          <w:color w:val="000000"/>
          <w:sz w:val="20"/>
          <w:szCs w:val="20"/>
        </w:rPr>
      </w:pPr>
      <w:r w:rsidRPr="00296ECA">
        <w:rPr>
          <w:rFonts w:ascii="Times New Roman" w:eastAsia="Constantia" w:hAnsi="Times New Roman"/>
          <w:color w:val="000000"/>
          <w:sz w:val="22"/>
          <w:szCs w:val="22"/>
          <w:vertAlign w:val="superscript"/>
        </w:rPr>
        <w:t>a1*</w:t>
      </w:r>
      <w:r w:rsidRPr="00296ECA">
        <w:rPr>
          <w:rFonts w:ascii="Times New Roman" w:eastAsia="Constantia" w:hAnsi="Times New Roman"/>
          <w:color w:val="000000"/>
          <w:sz w:val="22"/>
          <w:szCs w:val="22"/>
        </w:rPr>
        <w:t xml:space="preserve"> </w:t>
      </w:r>
      <w:r w:rsidRPr="00296ECA">
        <w:rPr>
          <w:rFonts w:ascii="Times New Roman" w:eastAsia="Constantia" w:hAnsi="Times New Roman"/>
          <w:color w:val="000000"/>
          <w:sz w:val="20"/>
          <w:szCs w:val="20"/>
        </w:rPr>
        <w:t>corresponding author</w:t>
      </w:r>
    </w:p>
    <w:tbl>
      <w:tblPr>
        <w:tblStyle w:val="a"/>
        <w:tblW w:w="9470" w:type="dxa"/>
        <w:tblBorders>
          <w:top w:val="single" w:sz="12" w:space="0" w:color="C00000"/>
          <w:bottom w:val="single" w:sz="12" w:space="0" w:color="C00000"/>
          <w:insideH w:val="single" w:sz="12" w:space="0" w:color="C00000"/>
        </w:tblBorders>
        <w:tblLayout w:type="fixed"/>
        <w:tblLook w:val="0400" w:firstRow="0" w:lastRow="0" w:firstColumn="0" w:lastColumn="0" w:noHBand="0" w:noVBand="1"/>
      </w:tblPr>
      <w:tblGrid>
        <w:gridCol w:w="2880"/>
        <w:gridCol w:w="360"/>
        <w:gridCol w:w="6230"/>
      </w:tblGrid>
      <w:tr w:rsidR="00C43F04" w:rsidRPr="00C86C4E" w:rsidTr="00296ECA">
        <w:trPr>
          <w:trHeight w:val="60"/>
        </w:trPr>
        <w:tc>
          <w:tcPr>
            <w:tcW w:w="2880" w:type="dxa"/>
            <w:vMerge w:val="restart"/>
            <w:tcBorders>
              <w:top w:val="single" w:sz="12" w:space="0" w:color="C00000"/>
            </w:tcBorders>
          </w:tcPr>
          <w:bookmarkStart w:id="0" w:name="_heading=h.30j0zll" w:colFirst="0" w:colLast="0"/>
          <w:bookmarkEnd w:id="0"/>
          <w:p w:rsidR="00C43F04" w:rsidRPr="00C86C4E" w:rsidRDefault="00000000" w:rsidP="009259D9">
            <w:pPr>
              <w:pBdr>
                <w:top w:val="nil"/>
                <w:left w:val="nil"/>
                <w:bottom w:val="nil"/>
                <w:right w:val="nil"/>
                <w:between w:val="nil"/>
              </w:pBdr>
              <w:spacing w:after="0" w:line="240" w:lineRule="auto"/>
              <w:ind w:left="-120"/>
              <w:rPr>
                <w:rFonts w:ascii="Constantia" w:eastAsia="Constantia" w:hAnsi="Constantia" w:cs="Constantia"/>
                <w:b/>
                <w:color w:val="000000"/>
                <w:sz w:val="18"/>
                <w:szCs w:val="18"/>
              </w:rPr>
            </w:pPr>
            <w:sdt>
              <w:sdtPr>
                <w:rPr>
                  <w:rFonts w:ascii="Constantia" w:hAnsi="Constantia"/>
                </w:rPr>
                <w:tag w:val="goog_rdk_3"/>
                <w:id w:val="-278257147"/>
              </w:sdtPr>
              <w:sdtContent/>
            </w:sdt>
            <w:r w:rsidR="00C43F04" w:rsidRPr="00C86C4E">
              <w:rPr>
                <w:rFonts w:ascii="Constantia" w:eastAsia="Constantia" w:hAnsi="Constantia" w:cs="Constantia"/>
                <w:b/>
                <w:color w:val="000000"/>
                <w:sz w:val="18"/>
                <w:szCs w:val="18"/>
              </w:rPr>
              <w:t>Keywords:</w:t>
            </w:r>
          </w:p>
          <w:p w:rsidR="00C43F04" w:rsidRPr="00C86C4E" w:rsidRDefault="00C43F04" w:rsidP="00296ECA">
            <w:pPr>
              <w:pBdr>
                <w:top w:val="nil"/>
                <w:left w:val="nil"/>
                <w:bottom w:val="nil"/>
                <w:right w:val="nil"/>
                <w:between w:val="nil"/>
              </w:pBdr>
              <w:spacing w:after="0" w:line="240" w:lineRule="auto"/>
              <w:ind w:left="788" w:right="-112" w:hanging="908"/>
              <w:rPr>
                <w:rFonts w:ascii="Constantia" w:eastAsia="Constantia" w:hAnsi="Constantia" w:cs="Constantia"/>
                <w:i/>
                <w:color w:val="000000"/>
                <w:sz w:val="18"/>
                <w:szCs w:val="18"/>
              </w:rPr>
            </w:pPr>
            <w:r w:rsidRPr="00C86C4E">
              <w:rPr>
                <w:rFonts w:ascii="Constantia" w:eastAsia="Constantia" w:hAnsi="Constantia" w:cs="Constantia"/>
                <w:i/>
                <w:color w:val="000000"/>
                <w:sz w:val="18"/>
                <w:szCs w:val="18"/>
              </w:rPr>
              <w:t xml:space="preserve">Keyword 1; </w:t>
            </w:r>
            <w:r w:rsidR="00296ECA">
              <w:rPr>
                <w:rFonts w:ascii="Constantia" w:eastAsia="Constantia" w:hAnsi="Constantia" w:cs="Constantia"/>
                <w:i/>
                <w:color w:val="000000"/>
                <w:sz w:val="18"/>
                <w:szCs w:val="18"/>
              </w:rPr>
              <w:t>G</w:t>
            </w:r>
            <w:r w:rsidR="00296ECA" w:rsidRPr="00296ECA">
              <w:rPr>
                <w:rFonts w:ascii="Constantia" w:eastAsia="Constantia" w:hAnsi="Constantia" w:cs="Constantia"/>
                <w:i/>
                <w:color w:val="000000"/>
                <w:sz w:val="18"/>
                <w:szCs w:val="18"/>
              </w:rPr>
              <w:t xml:space="preserve">lobal </w:t>
            </w:r>
            <w:r w:rsidR="00296ECA" w:rsidRPr="00296ECA">
              <w:rPr>
                <w:rFonts w:ascii="Constantia" w:eastAsia="Constantia" w:hAnsi="Constantia" w:cs="Constantia"/>
                <w:i/>
                <w:color w:val="000000"/>
                <w:sz w:val="18"/>
                <w:szCs w:val="18"/>
              </w:rPr>
              <w:t>Citizenship Education</w:t>
            </w:r>
          </w:p>
          <w:p w:rsidR="00C43F04" w:rsidRPr="00C86C4E" w:rsidRDefault="00C43F04" w:rsidP="00296ECA">
            <w:pPr>
              <w:pBdr>
                <w:top w:val="nil"/>
                <w:left w:val="nil"/>
                <w:bottom w:val="nil"/>
                <w:right w:val="nil"/>
                <w:between w:val="nil"/>
              </w:pBdr>
              <w:spacing w:after="0" w:line="240" w:lineRule="auto"/>
              <w:ind w:left="-120" w:right="54"/>
              <w:rPr>
                <w:rFonts w:ascii="Constantia" w:eastAsia="Constantia" w:hAnsi="Constantia" w:cs="Constantia"/>
                <w:i/>
                <w:color w:val="000000"/>
                <w:sz w:val="18"/>
                <w:szCs w:val="18"/>
              </w:rPr>
            </w:pPr>
            <w:r w:rsidRPr="00C86C4E">
              <w:rPr>
                <w:rFonts w:ascii="Constantia" w:eastAsia="Constantia" w:hAnsi="Constantia" w:cs="Constantia"/>
                <w:i/>
                <w:color w:val="000000"/>
                <w:sz w:val="18"/>
                <w:szCs w:val="18"/>
              </w:rPr>
              <w:t xml:space="preserve">Keyword </w:t>
            </w:r>
            <w:r w:rsidR="00296ECA" w:rsidRPr="00C86C4E">
              <w:rPr>
                <w:rFonts w:ascii="Constantia" w:eastAsia="Constantia" w:hAnsi="Constantia" w:cs="Constantia"/>
                <w:i/>
                <w:color w:val="000000"/>
                <w:sz w:val="18"/>
                <w:szCs w:val="18"/>
              </w:rPr>
              <w:t xml:space="preserve">2; </w:t>
            </w:r>
            <w:r w:rsidR="00296ECA" w:rsidRPr="00296ECA">
              <w:rPr>
                <w:rFonts w:ascii="Constantia" w:eastAsia="Constantia" w:hAnsi="Constantia" w:cs="Constantia"/>
                <w:i/>
                <w:color w:val="000000"/>
                <w:sz w:val="18"/>
                <w:szCs w:val="18"/>
              </w:rPr>
              <w:t>Global Citizens</w:t>
            </w:r>
          </w:p>
          <w:p w:rsidR="00C43F04" w:rsidRPr="00C86C4E" w:rsidRDefault="00C43F04" w:rsidP="002E460D">
            <w:pPr>
              <w:pBdr>
                <w:top w:val="nil"/>
                <w:left w:val="nil"/>
                <w:bottom w:val="nil"/>
                <w:right w:val="nil"/>
                <w:between w:val="nil"/>
              </w:pBdr>
              <w:spacing w:after="0" w:line="240" w:lineRule="auto"/>
              <w:ind w:left="788" w:hanging="908"/>
              <w:rPr>
                <w:rFonts w:ascii="Constantia" w:eastAsia="Constantia" w:hAnsi="Constantia" w:cs="Constantia"/>
                <w:i/>
                <w:color w:val="000000"/>
                <w:sz w:val="18"/>
                <w:szCs w:val="18"/>
              </w:rPr>
            </w:pPr>
            <w:r w:rsidRPr="00C86C4E">
              <w:rPr>
                <w:rFonts w:ascii="Constantia" w:eastAsia="Constantia" w:hAnsi="Constantia" w:cs="Constantia"/>
                <w:i/>
                <w:color w:val="000000"/>
                <w:sz w:val="18"/>
                <w:szCs w:val="18"/>
              </w:rPr>
              <w:t xml:space="preserve">Keyword </w:t>
            </w:r>
            <w:r w:rsidR="00296ECA" w:rsidRPr="00C86C4E">
              <w:rPr>
                <w:rFonts w:ascii="Constantia" w:eastAsia="Constantia" w:hAnsi="Constantia" w:cs="Constantia"/>
                <w:i/>
                <w:color w:val="000000"/>
                <w:sz w:val="18"/>
                <w:szCs w:val="18"/>
              </w:rPr>
              <w:t xml:space="preserve">3; </w:t>
            </w:r>
            <w:r w:rsidR="00296ECA" w:rsidRPr="00296ECA">
              <w:rPr>
                <w:rFonts w:ascii="Constantia" w:eastAsia="Constantia" w:hAnsi="Constantia" w:cs="Constantia"/>
                <w:i/>
                <w:color w:val="000000"/>
                <w:sz w:val="18"/>
                <w:szCs w:val="18"/>
              </w:rPr>
              <w:t>Inclusion</w:t>
            </w:r>
          </w:p>
          <w:p w:rsidR="00C43F04" w:rsidRPr="00C86C4E" w:rsidRDefault="00C43F04" w:rsidP="00C43F04">
            <w:pPr>
              <w:pBdr>
                <w:top w:val="nil"/>
                <w:left w:val="nil"/>
                <w:bottom w:val="nil"/>
                <w:right w:val="nil"/>
                <w:between w:val="nil"/>
              </w:pBdr>
              <w:spacing w:after="0" w:line="240" w:lineRule="auto"/>
              <w:ind w:left="-120" w:right="-300"/>
              <w:rPr>
                <w:rFonts w:ascii="Constantia" w:eastAsia="Constantia" w:hAnsi="Constantia" w:cs="Constantia"/>
                <w:i/>
                <w:color w:val="000000"/>
                <w:sz w:val="18"/>
                <w:szCs w:val="18"/>
              </w:rPr>
            </w:pPr>
          </w:p>
        </w:tc>
        <w:tc>
          <w:tcPr>
            <w:tcW w:w="360" w:type="dxa"/>
            <w:tcBorders>
              <w:top w:val="nil"/>
              <w:bottom w:val="nil"/>
            </w:tcBorders>
          </w:tcPr>
          <w:p w:rsidR="00C43F04" w:rsidRPr="00C86C4E" w:rsidRDefault="00C43F04" w:rsidP="00696EB2">
            <w:pPr>
              <w:pBdr>
                <w:top w:val="nil"/>
                <w:left w:val="nil"/>
                <w:bottom w:val="nil"/>
                <w:right w:val="nil"/>
                <w:between w:val="nil"/>
              </w:pBdr>
              <w:spacing w:after="0" w:line="240" w:lineRule="auto"/>
              <w:rPr>
                <w:rFonts w:ascii="Constantia" w:eastAsia="Constantia" w:hAnsi="Constantia" w:cs="Constantia"/>
                <w:b/>
                <w:color w:val="000000"/>
                <w:sz w:val="18"/>
                <w:szCs w:val="18"/>
              </w:rPr>
            </w:pPr>
          </w:p>
        </w:tc>
        <w:tc>
          <w:tcPr>
            <w:tcW w:w="6230" w:type="dxa"/>
            <w:tcBorders>
              <w:top w:val="single" w:sz="12" w:space="0" w:color="C00000"/>
              <w:bottom w:val="single" w:sz="12" w:space="0" w:color="C00000"/>
            </w:tcBorders>
          </w:tcPr>
          <w:p w:rsidR="00C43F04" w:rsidRPr="00C86C4E" w:rsidRDefault="00C43F04" w:rsidP="00696EB2">
            <w:pPr>
              <w:pBdr>
                <w:top w:val="nil"/>
                <w:left w:val="nil"/>
                <w:bottom w:val="nil"/>
                <w:right w:val="nil"/>
                <w:between w:val="nil"/>
              </w:pBdr>
              <w:spacing w:after="0" w:line="240" w:lineRule="auto"/>
              <w:rPr>
                <w:rFonts w:ascii="Constantia" w:eastAsia="Constantia" w:hAnsi="Constantia" w:cs="Constantia"/>
                <w:b/>
                <w:color w:val="000000"/>
                <w:sz w:val="18"/>
                <w:szCs w:val="18"/>
              </w:rPr>
            </w:pPr>
            <w:r w:rsidRPr="00C86C4E">
              <w:rPr>
                <w:rFonts w:ascii="Constantia" w:eastAsia="Constantia" w:hAnsi="Constantia" w:cs="Constantia"/>
                <w:b/>
                <w:color w:val="000000"/>
                <w:sz w:val="18"/>
                <w:szCs w:val="18"/>
              </w:rPr>
              <w:t>ABSTRACT</w:t>
            </w:r>
          </w:p>
        </w:tc>
      </w:tr>
      <w:tr w:rsidR="00C43F04" w:rsidRPr="00C86C4E" w:rsidTr="00296ECA">
        <w:tc>
          <w:tcPr>
            <w:tcW w:w="2880" w:type="dxa"/>
            <w:vMerge/>
            <w:tcBorders>
              <w:bottom w:val="single" w:sz="18" w:space="0" w:color="FFFFFF"/>
            </w:tcBorders>
          </w:tcPr>
          <w:p w:rsidR="00C43F04" w:rsidRPr="00C86C4E" w:rsidRDefault="00C43F04" w:rsidP="00C43F04">
            <w:pPr>
              <w:pBdr>
                <w:top w:val="nil"/>
                <w:left w:val="nil"/>
                <w:bottom w:val="nil"/>
                <w:right w:val="nil"/>
                <w:between w:val="nil"/>
              </w:pBdr>
              <w:spacing w:after="0" w:line="240" w:lineRule="auto"/>
              <w:ind w:left="-120" w:right="-300"/>
              <w:rPr>
                <w:rFonts w:ascii="Constantia" w:eastAsia="Constantia" w:hAnsi="Constantia" w:cs="Constantia"/>
                <w:b/>
                <w:color w:val="000000"/>
                <w:sz w:val="18"/>
                <w:szCs w:val="18"/>
                <w:highlight w:val="yellow"/>
              </w:rPr>
            </w:pPr>
          </w:p>
        </w:tc>
        <w:tc>
          <w:tcPr>
            <w:tcW w:w="360" w:type="dxa"/>
            <w:tcBorders>
              <w:top w:val="nil"/>
              <w:bottom w:val="nil"/>
            </w:tcBorders>
          </w:tcPr>
          <w:p w:rsidR="00C43F04" w:rsidRPr="00C86C4E" w:rsidRDefault="00C43F04" w:rsidP="00696EB2">
            <w:pPr>
              <w:pBdr>
                <w:top w:val="nil"/>
                <w:left w:val="nil"/>
                <w:bottom w:val="nil"/>
                <w:right w:val="nil"/>
                <w:between w:val="nil"/>
              </w:pBdr>
              <w:spacing w:after="0" w:line="240" w:lineRule="auto"/>
              <w:rPr>
                <w:rFonts w:ascii="Constantia" w:eastAsia="Constantia" w:hAnsi="Constantia" w:cs="Constantia"/>
                <w:b/>
                <w:color w:val="000000"/>
                <w:sz w:val="20"/>
                <w:szCs w:val="20"/>
              </w:rPr>
            </w:pPr>
          </w:p>
        </w:tc>
        <w:tc>
          <w:tcPr>
            <w:tcW w:w="6230" w:type="dxa"/>
            <w:vMerge w:val="restart"/>
            <w:tcBorders>
              <w:top w:val="single" w:sz="12" w:space="0" w:color="C00000"/>
            </w:tcBorders>
          </w:tcPr>
          <w:p w:rsidR="00C43F04" w:rsidRPr="00C86C4E" w:rsidRDefault="00D84020" w:rsidP="002E460D">
            <w:pPr>
              <w:pBdr>
                <w:top w:val="nil"/>
                <w:left w:val="nil"/>
                <w:bottom w:val="nil"/>
                <w:right w:val="nil"/>
                <w:between w:val="nil"/>
              </w:pBdr>
              <w:spacing w:after="60" w:line="240" w:lineRule="auto"/>
              <w:jc w:val="both"/>
              <w:rPr>
                <w:rFonts w:ascii="Constantia" w:eastAsia="Constantia" w:hAnsi="Constantia" w:cs="Constantia"/>
                <w:color w:val="000000"/>
                <w:sz w:val="18"/>
                <w:szCs w:val="18"/>
              </w:rPr>
            </w:pPr>
            <w:r w:rsidRPr="00D84020">
              <w:rPr>
                <w:rFonts w:ascii="Constantia" w:eastAsia="Constantia" w:hAnsi="Constantia" w:cs="Constantia"/>
                <w:bCs/>
                <w:color w:val="000000"/>
                <w:sz w:val="18"/>
                <w:szCs w:val="18"/>
              </w:rPr>
              <w:t>This article attempts to present the urgency of learning themes in the context of global citizenship and strategies that can be implemented to form inclusive global citizens through global citizenship education. A global perspective is one of the main needs for contemporary citizens due to the increasing world problems whose solutions require interdependence and cooperation from all nations. Methodologically, this study uses a qualitative research approach with a case study research design with the research location at the Pancasila and Citizenship Education of study program, State University of Surabaya. The results of the study state that the urgency of learning themes that form global citizens is the concept of justice and equality, the concept of diversity and the concept of a sustainable environment while the strategy for forming knowledge, skills and attitudes of inclusive global citizens, by first, implementing a learning approach developed through curricular and organizational learning, second, developing an inclusive learning environment that has an impact on the formation of students' global knowledge and understanding, students' global skills and the development of students' global values</w:t>
            </w:r>
          </w:p>
        </w:tc>
      </w:tr>
      <w:tr w:rsidR="006E3708" w:rsidRPr="00C86C4E" w:rsidTr="00296ECA">
        <w:trPr>
          <w:trHeight w:val="3150"/>
        </w:trPr>
        <w:tc>
          <w:tcPr>
            <w:tcW w:w="2880" w:type="dxa"/>
            <w:tcBorders>
              <w:top w:val="single" w:sz="12" w:space="0" w:color="C00000"/>
              <w:bottom w:val="single" w:sz="18" w:space="0" w:color="FFFFFF"/>
            </w:tcBorders>
          </w:tcPr>
          <w:p w:rsidR="006E3708" w:rsidRPr="00C86C4E" w:rsidRDefault="006E3708" w:rsidP="00696EB2">
            <w:pPr>
              <w:pBdr>
                <w:top w:val="nil"/>
                <w:left w:val="nil"/>
                <w:bottom w:val="nil"/>
                <w:right w:val="nil"/>
                <w:between w:val="nil"/>
              </w:pBdr>
              <w:spacing w:after="0" w:line="240" w:lineRule="auto"/>
              <w:rPr>
                <w:rFonts w:ascii="Constantia" w:eastAsia="Constantia" w:hAnsi="Constantia" w:cs="Constantia"/>
                <w:color w:val="000000"/>
                <w:sz w:val="20"/>
                <w:szCs w:val="20"/>
              </w:rPr>
            </w:pPr>
          </w:p>
        </w:tc>
        <w:tc>
          <w:tcPr>
            <w:tcW w:w="360" w:type="dxa"/>
            <w:tcBorders>
              <w:top w:val="nil"/>
              <w:bottom w:val="nil"/>
            </w:tcBorders>
          </w:tcPr>
          <w:p w:rsidR="006E3708" w:rsidRPr="00C86C4E" w:rsidRDefault="006E3708" w:rsidP="00696EB2">
            <w:pPr>
              <w:pBdr>
                <w:top w:val="nil"/>
                <w:left w:val="nil"/>
                <w:bottom w:val="nil"/>
                <w:right w:val="nil"/>
                <w:between w:val="nil"/>
              </w:pBdr>
              <w:spacing w:after="60" w:line="240" w:lineRule="auto"/>
              <w:jc w:val="both"/>
              <w:rPr>
                <w:rFonts w:ascii="Constantia" w:eastAsia="Constantia" w:hAnsi="Constantia" w:cs="Constantia"/>
                <w:color w:val="000000"/>
                <w:sz w:val="18"/>
                <w:szCs w:val="18"/>
              </w:rPr>
            </w:pPr>
          </w:p>
        </w:tc>
        <w:tc>
          <w:tcPr>
            <w:tcW w:w="6230" w:type="dxa"/>
            <w:vMerge/>
            <w:tcBorders>
              <w:top w:val="single" w:sz="12" w:space="0" w:color="C00000"/>
            </w:tcBorders>
          </w:tcPr>
          <w:p w:rsidR="006E3708" w:rsidRPr="00C86C4E" w:rsidRDefault="006E3708" w:rsidP="00696EB2">
            <w:pPr>
              <w:widowControl w:val="0"/>
              <w:pBdr>
                <w:top w:val="nil"/>
                <w:left w:val="nil"/>
                <w:bottom w:val="nil"/>
                <w:right w:val="nil"/>
                <w:between w:val="nil"/>
              </w:pBdr>
              <w:spacing w:after="0" w:line="276" w:lineRule="auto"/>
              <w:rPr>
                <w:rFonts w:ascii="Constantia" w:eastAsia="Constantia" w:hAnsi="Constantia" w:cs="Constantia"/>
                <w:color w:val="000000"/>
                <w:sz w:val="18"/>
                <w:szCs w:val="18"/>
              </w:rPr>
            </w:pPr>
          </w:p>
        </w:tc>
      </w:tr>
    </w:tbl>
    <w:p w:rsidR="009259D9" w:rsidRPr="00C86C4E" w:rsidRDefault="009259D9" w:rsidP="009259D9">
      <w:pPr>
        <w:pBdr>
          <w:top w:val="nil"/>
          <w:left w:val="nil"/>
          <w:bottom w:val="nil"/>
          <w:right w:val="nil"/>
          <w:between w:val="nil"/>
        </w:pBdr>
        <w:spacing w:after="120" w:line="240" w:lineRule="auto"/>
        <w:ind w:right="-188"/>
        <w:jc w:val="right"/>
        <w:rPr>
          <w:rFonts w:ascii="Constantia" w:eastAsia="Constantia" w:hAnsi="Constantia" w:cs="Constantia"/>
          <w:b/>
          <w:color w:val="000000"/>
          <w:sz w:val="20"/>
          <w:szCs w:val="20"/>
        </w:rPr>
      </w:pPr>
      <w:bookmarkStart w:id="1" w:name="_heading=h.1fob9te" w:colFirst="0" w:colLast="0"/>
      <w:bookmarkStart w:id="2" w:name="_heading=h.3znysh7" w:colFirst="0" w:colLast="0"/>
      <w:bookmarkEnd w:id="1"/>
      <w:bookmarkEnd w:id="2"/>
      <w:r w:rsidRPr="00C86C4E">
        <w:rPr>
          <w:rFonts w:ascii="Constantia" w:eastAsia="Constantia" w:hAnsi="Constantia" w:cs="Constantia"/>
          <w:b/>
          <w:color w:val="000000"/>
          <w:sz w:val="20"/>
          <w:szCs w:val="20"/>
        </w:rPr>
        <w:t>Copyright © 202</w:t>
      </w:r>
      <w:r w:rsidR="00C85082" w:rsidRPr="00C86C4E">
        <w:rPr>
          <w:rFonts w:ascii="Constantia" w:eastAsia="Constantia" w:hAnsi="Constantia" w:cs="Constantia"/>
          <w:b/>
          <w:color w:val="000000"/>
          <w:sz w:val="20"/>
          <w:szCs w:val="20"/>
        </w:rPr>
        <w:t>4</w:t>
      </w:r>
      <w:r w:rsidRPr="00C86C4E">
        <w:rPr>
          <w:rFonts w:ascii="Constantia" w:eastAsia="Constantia" w:hAnsi="Constantia" w:cs="Constantia"/>
          <w:b/>
          <w:color w:val="000000"/>
          <w:sz w:val="20"/>
          <w:szCs w:val="20"/>
        </w:rPr>
        <w:t xml:space="preserve"> (</w:t>
      </w:r>
      <w:r w:rsidR="00D84020">
        <w:rPr>
          <w:rFonts w:ascii="Constantia" w:eastAsia="Constantia" w:hAnsi="Constantia" w:cs="Constantia"/>
          <w:b/>
          <w:color w:val="000000"/>
          <w:sz w:val="20"/>
          <w:szCs w:val="20"/>
        </w:rPr>
        <w:t>Fitria Anjar Sari</w:t>
      </w:r>
      <w:r w:rsidRPr="00C86C4E">
        <w:rPr>
          <w:rFonts w:ascii="Constantia" w:eastAsia="Constantia" w:hAnsi="Constantia" w:cs="Constantia"/>
          <w:b/>
          <w:color w:val="000000"/>
          <w:sz w:val="20"/>
          <w:szCs w:val="20"/>
        </w:rPr>
        <w:t>). All Right</w:t>
      </w:r>
      <w:r w:rsidR="002E460D" w:rsidRPr="00C86C4E">
        <w:rPr>
          <w:rFonts w:ascii="Constantia" w:eastAsia="Constantia" w:hAnsi="Constantia" w:cs="Constantia"/>
          <w:b/>
          <w:color w:val="000000"/>
          <w:sz w:val="20"/>
          <w:szCs w:val="20"/>
        </w:rPr>
        <w:t>s</w:t>
      </w:r>
      <w:r w:rsidRPr="00C86C4E">
        <w:rPr>
          <w:rFonts w:ascii="Constantia" w:eastAsia="Constantia" w:hAnsi="Constantia" w:cs="Constantia"/>
          <w:b/>
          <w:color w:val="000000"/>
          <w:sz w:val="20"/>
          <w:szCs w:val="20"/>
        </w:rPr>
        <w:t xml:space="preserve"> Reserved</w:t>
      </w:r>
    </w:p>
    <w:p w:rsidR="00A91243" w:rsidRPr="00C86C4E" w:rsidRDefault="00D03476" w:rsidP="00244D14">
      <w:pPr>
        <w:spacing w:line="240" w:lineRule="auto"/>
        <w:ind w:left="1260" w:right="-46" w:hanging="1260"/>
        <w:jc w:val="both"/>
        <w:rPr>
          <w:rFonts w:ascii="Constantia" w:eastAsia="Constantia" w:hAnsi="Constantia" w:cs="Constantia"/>
          <w:sz w:val="20"/>
          <w:szCs w:val="20"/>
        </w:rPr>
      </w:pPr>
      <w:r w:rsidRPr="00C86C4E">
        <w:rPr>
          <w:rFonts w:ascii="Constantia" w:eastAsia="Constantia" w:hAnsi="Constantia" w:cs="Constantia"/>
          <w:sz w:val="20"/>
          <w:szCs w:val="20"/>
        </w:rPr>
        <w:t xml:space="preserve">How to Cite: </w:t>
      </w:r>
      <w:r w:rsidR="00D84020">
        <w:rPr>
          <w:rFonts w:ascii="Constantia" w:eastAsia="Constantia" w:hAnsi="Constantia" w:cs="Constantia"/>
          <w:sz w:val="20"/>
          <w:szCs w:val="20"/>
        </w:rPr>
        <w:t>Sari, Fitria Anjar</w:t>
      </w:r>
      <w:r w:rsidR="0043098E" w:rsidRPr="00C86C4E">
        <w:rPr>
          <w:rFonts w:ascii="Constantia" w:eastAsia="Constantia" w:hAnsi="Constantia" w:cs="Constantia"/>
          <w:sz w:val="20"/>
          <w:szCs w:val="20"/>
        </w:rPr>
        <w:t>. 202</w:t>
      </w:r>
      <w:r w:rsidR="00244D14" w:rsidRPr="00C86C4E">
        <w:rPr>
          <w:rFonts w:ascii="Constantia" w:eastAsia="Constantia" w:hAnsi="Constantia" w:cs="Constantia"/>
          <w:sz w:val="20"/>
          <w:szCs w:val="20"/>
        </w:rPr>
        <w:t>4</w:t>
      </w:r>
      <w:r w:rsidR="006621CA" w:rsidRPr="00C86C4E">
        <w:rPr>
          <w:rFonts w:ascii="Constantia" w:eastAsia="Constantia" w:hAnsi="Constantia" w:cs="Constantia"/>
          <w:sz w:val="20"/>
          <w:szCs w:val="20"/>
        </w:rPr>
        <w:t xml:space="preserve">. </w:t>
      </w:r>
      <w:r w:rsidR="00D84020" w:rsidRPr="00D84020">
        <w:rPr>
          <w:rFonts w:ascii="Constantia" w:eastAsia="Constantia" w:hAnsi="Constantia" w:cs="Constantia"/>
          <w:sz w:val="20"/>
          <w:szCs w:val="20"/>
        </w:rPr>
        <w:t>Global Citizenship Education: Urgency and Strategy Forming Inclusive Global Citizen</w:t>
      </w:r>
      <w:r w:rsidR="006621CA" w:rsidRPr="00C86C4E">
        <w:rPr>
          <w:rFonts w:ascii="Constantia" w:eastAsia="Constantia" w:hAnsi="Constantia" w:cs="Constantia"/>
          <w:sz w:val="20"/>
          <w:szCs w:val="20"/>
        </w:rPr>
        <w:t xml:space="preserve">. </w:t>
      </w:r>
      <w:r w:rsidR="00860148" w:rsidRPr="00C86C4E">
        <w:rPr>
          <w:rFonts w:ascii="Constantia" w:eastAsia="Constantia" w:hAnsi="Constantia" w:cs="Constantia"/>
          <w:i/>
          <w:sz w:val="20"/>
          <w:szCs w:val="20"/>
          <w:highlight w:val="white"/>
        </w:rPr>
        <w:t xml:space="preserve">Journal of </w:t>
      </w:r>
      <w:r w:rsidR="009259D9" w:rsidRPr="00C86C4E">
        <w:rPr>
          <w:rFonts w:ascii="Constantia" w:eastAsia="Constantia" w:hAnsi="Constantia" w:cs="Constantia"/>
          <w:i/>
          <w:sz w:val="20"/>
          <w:szCs w:val="20"/>
          <w:highlight w:val="white"/>
        </w:rPr>
        <w:t>C</w:t>
      </w:r>
      <w:r w:rsidR="00860148" w:rsidRPr="00C86C4E">
        <w:rPr>
          <w:rFonts w:ascii="Constantia" w:eastAsia="Constantia" w:hAnsi="Constantia" w:cs="Constantia"/>
          <w:i/>
          <w:sz w:val="20"/>
          <w:szCs w:val="20"/>
          <w:highlight w:val="white"/>
        </w:rPr>
        <w:t>ivic and Moral Studies</w:t>
      </w:r>
      <w:r w:rsidRPr="00C86C4E">
        <w:rPr>
          <w:rFonts w:ascii="Constantia" w:eastAsia="Constantia" w:hAnsi="Constantia" w:cs="Constantia"/>
          <w:sz w:val="20"/>
          <w:szCs w:val="20"/>
          <w:highlight w:val="white"/>
        </w:rPr>
        <w:t>, </w:t>
      </w:r>
      <w:r w:rsidRPr="00C86C4E">
        <w:rPr>
          <w:rFonts w:ascii="Constantia" w:eastAsia="Constantia" w:hAnsi="Constantia" w:cs="Constantia"/>
          <w:sz w:val="20"/>
          <w:szCs w:val="20"/>
        </w:rPr>
        <w:t>Vol</w:t>
      </w:r>
      <w:r w:rsidR="009259D9" w:rsidRPr="00C86C4E">
        <w:rPr>
          <w:rFonts w:ascii="Constantia" w:eastAsia="Constantia" w:hAnsi="Constantia" w:cs="Constantia"/>
          <w:sz w:val="20"/>
          <w:szCs w:val="20"/>
        </w:rPr>
        <w:t>.</w:t>
      </w:r>
      <w:r w:rsidRPr="00C86C4E">
        <w:rPr>
          <w:rFonts w:ascii="Constantia" w:eastAsia="Constantia" w:hAnsi="Constantia" w:cs="Constantia"/>
          <w:sz w:val="20"/>
          <w:szCs w:val="20"/>
        </w:rPr>
        <w:t xml:space="preserve"> </w:t>
      </w:r>
      <w:r w:rsidR="00D84020">
        <w:rPr>
          <w:rFonts w:ascii="Constantia" w:eastAsia="Constantia" w:hAnsi="Constantia" w:cs="Constantia"/>
          <w:sz w:val="20"/>
          <w:szCs w:val="20"/>
        </w:rPr>
        <w:t>9</w:t>
      </w:r>
      <w:r w:rsidRPr="00C86C4E">
        <w:rPr>
          <w:rFonts w:ascii="Constantia" w:eastAsia="Constantia" w:hAnsi="Constantia" w:cs="Constantia"/>
          <w:sz w:val="20"/>
          <w:szCs w:val="20"/>
        </w:rPr>
        <w:t xml:space="preserve">, </w:t>
      </w:r>
      <w:r w:rsidR="006621CA" w:rsidRPr="00C86C4E">
        <w:rPr>
          <w:rFonts w:ascii="Constantia" w:eastAsia="Constantia" w:hAnsi="Constantia" w:cs="Constantia"/>
          <w:sz w:val="20"/>
          <w:szCs w:val="20"/>
        </w:rPr>
        <w:t xml:space="preserve">Page </w:t>
      </w:r>
      <w:r w:rsidR="00D604FA">
        <w:rPr>
          <w:rFonts w:ascii="Constantia" w:eastAsia="Constantia" w:hAnsi="Constantia" w:cs="Constantia"/>
          <w:sz w:val="20"/>
          <w:szCs w:val="20"/>
        </w:rPr>
        <w:t>76</w:t>
      </w:r>
      <w:r w:rsidRPr="00C86C4E">
        <w:rPr>
          <w:rFonts w:ascii="Constantia" w:eastAsia="Constantia" w:hAnsi="Constantia" w:cs="Constantia"/>
          <w:sz w:val="20"/>
          <w:szCs w:val="20"/>
        </w:rPr>
        <w:t>-</w:t>
      </w:r>
      <w:r w:rsidR="00D604FA">
        <w:rPr>
          <w:rFonts w:ascii="Constantia" w:eastAsia="Constantia" w:hAnsi="Constantia" w:cs="Constantia"/>
          <w:sz w:val="20"/>
          <w:szCs w:val="20"/>
        </w:rPr>
        <w:t>83</w:t>
      </w:r>
      <w:r w:rsidRPr="00C86C4E">
        <w:rPr>
          <w:rFonts w:ascii="Constantia" w:eastAsia="Constantia" w:hAnsi="Constantia" w:cs="Constantia"/>
          <w:sz w:val="20"/>
          <w:szCs w:val="20"/>
        </w:rPr>
        <w:t>.</w:t>
      </w:r>
    </w:p>
    <w:p w:rsidR="00A91243" w:rsidRDefault="00D03476">
      <w:pPr>
        <w:pBdr>
          <w:top w:val="nil"/>
          <w:left w:val="nil"/>
          <w:bottom w:val="nil"/>
          <w:right w:val="nil"/>
          <w:between w:val="nil"/>
        </w:pBdr>
        <w:spacing w:after="0" w:line="240" w:lineRule="auto"/>
        <w:rPr>
          <w:rFonts w:ascii="Constantia" w:eastAsia="Constantia" w:hAnsi="Constantia" w:cs="Constantia"/>
          <w:b/>
          <w:color w:val="000000"/>
          <w:sz w:val="22"/>
          <w:szCs w:val="22"/>
        </w:rPr>
      </w:pPr>
      <w:r>
        <w:rPr>
          <w:rFonts w:ascii="Constantia" w:eastAsia="Constantia" w:hAnsi="Constantia" w:cs="Constantia"/>
          <w:b/>
          <w:color w:val="000000"/>
          <w:sz w:val="22"/>
          <w:szCs w:val="22"/>
        </w:rPr>
        <w:br/>
      </w:r>
    </w:p>
    <w:p w:rsidR="00A91243" w:rsidRDefault="00D03476">
      <w:pPr>
        <w:rPr>
          <w:rFonts w:ascii="Constantia" w:eastAsia="Constantia" w:hAnsi="Constantia" w:cs="Constantia"/>
          <w:b/>
          <w:sz w:val="22"/>
          <w:szCs w:val="22"/>
        </w:rPr>
      </w:pPr>
      <w:r>
        <w:br w:type="page"/>
      </w:r>
    </w:p>
    <w:p w:rsidR="00C43F04" w:rsidRPr="00314F3A" w:rsidRDefault="00C43F04" w:rsidP="00C43F04">
      <w:pPr>
        <w:widowControl w:val="0"/>
        <w:pBdr>
          <w:top w:val="nil"/>
          <w:left w:val="nil"/>
          <w:bottom w:val="nil"/>
          <w:right w:val="nil"/>
          <w:between w:val="nil"/>
        </w:pBdr>
        <w:spacing w:after="0" w:line="240" w:lineRule="auto"/>
        <w:jc w:val="both"/>
        <w:rPr>
          <w:rFonts w:ascii="Constantia" w:eastAsia="Constantia" w:hAnsi="Constantia" w:cs="Constantia"/>
          <w:b/>
          <w:color w:val="000000"/>
          <w:sz w:val="22"/>
          <w:szCs w:val="22"/>
        </w:rPr>
      </w:pPr>
      <w:bookmarkStart w:id="3" w:name="_heading=h.2et92p0" w:colFirst="0" w:colLast="0"/>
      <w:bookmarkEnd w:id="3"/>
      <w:r w:rsidRPr="00314F3A">
        <w:rPr>
          <w:rFonts w:ascii="Constantia" w:eastAsia="Constantia" w:hAnsi="Constantia" w:cs="Constantia"/>
          <w:b/>
          <w:color w:val="000000"/>
          <w:sz w:val="22"/>
          <w:szCs w:val="22"/>
        </w:rPr>
        <w:lastRenderedPageBreak/>
        <w:t>Introduction</w:t>
      </w:r>
    </w:p>
    <w:p w:rsidR="00D84020" w:rsidRPr="00D84020" w:rsidRDefault="00D84020" w:rsidP="00D84020">
      <w:pPr>
        <w:pStyle w:val="BodyText"/>
        <w:spacing w:after="0" w:line="276" w:lineRule="auto"/>
        <w:ind w:firstLine="720"/>
        <w:rPr>
          <w:rFonts w:ascii="Constantia" w:hAnsi="Constantia"/>
          <w:lang w:val="en"/>
        </w:rPr>
      </w:pPr>
      <w:r w:rsidRPr="00D84020">
        <w:rPr>
          <w:rFonts w:ascii="Constantia" w:hAnsi="Constantia"/>
          <w:lang w:val="en"/>
        </w:rPr>
        <w:t>Entering the 21st century, every country in the world will face various global problems that need to be handled by each country seriously. Various global problems or issues Which moment This is rife with increasing interdependence and competitiveness between countries, violence and inter-ethnic war, organized terrorism, sustainable development and environmental damage as well as the increasingly rapid development of information and communication technology which also has various impact negative (</w:t>
      </w:r>
      <w:proofErr w:type="spellStart"/>
      <w:r w:rsidRPr="00D84020">
        <w:rPr>
          <w:rFonts w:ascii="Constantia" w:hAnsi="Constantia"/>
          <w:lang w:val="en"/>
        </w:rPr>
        <w:t>Gacel</w:t>
      </w:r>
      <w:proofErr w:type="spellEnd"/>
      <w:r w:rsidRPr="00D84020">
        <w:rPr>
          <w:rFonts w:ascii="Constantia" w:hAnsi="Constantia"/>
          <w:lang w:val="en"/>
        </w:rPr>
        <w:t xml:space="preserve"> </w:t>
      </w:r>
      <w:proofErr w:type="gramStart"/>
      <w:r w:rsidRPr="00D84020">
        <w:rPr>
          <w:rFonts w:ascii="Constantia" w:hAnsi="Constantia"/>
          <w:lang w:val="en"/>
        </w:rPr>
        <w:t>And</w:t>
      </w:r>
      <w:proofErr w:type="gramEnd"/>
      <w:r w:rsidRPr="00D84020">
        <w:rPr>
          <w:rFonts w:ascii="Constantia" w:hAnsi="Constantia"/>
          <w:lang w:val="en"/>
        </w:rPr>
        <w:t xml:space="preserve"> Avila, 2015; Cogan and </w:t>
      </w:r>
      <w:proofErr w:type="spellStart"/>
      <w:r w:rsidRPr="00D84020">
        <w:rPr>
          <w:rFonts w:ascii="Constantia" w:hAnsi="Constantia"/>
          <w:lang w:val="en"/>
        </w:rPr>
        <w:t>Derricot</w:t>
      </w:r>
      <w:proofErr w:type="spellEnd"/>
      <w:r w:rsidRPr="00D84020">
        <w:rPr>
          <w:rFonts w:ascii="Constantia" w:hAnsi="Constantia"/>
          <w:lang w:val="en"/>
        </w:rPr>
        <w:t xml:space="preserve">, 1998, p. 7; UNESCO, 2015; Wahab and </w:t>
      </w:r>
      <w:proofErr w:type="spellStart"/>
      <w:r w:rsidRPr="00D84020">
        <w:rPr>
          <w:rFonts w:ascii="Constantia" w:hAnsi="Constantia"/>
          <w:lang w:val="en"/>
        </w:rPr>
        <w:t>Sapriya</w:t>
      </w:r>
      <w:proofErr w:type="spellEnd"/>
      <w:r w:rsidRPr="00D84020">
        <w:rPr>
          <w:rFonts w:ascii="Constantia" w:hAnsi="Constantia"/>
          <w:lang w:val="en"/>
        </w:rPr>
        <w:t xml:space="preserve">, 2012, p. 236). Solutions to overcome these problems require cooperation from various countries. If these problems are not immediately resolved, the world will experience rapid destruction due to conflict and environmental damage. </w:t>
      </w:r>
    </w:p>
    <w:p w:rsidR="00D84020" w:rsidRPr="00D84020" w:rsidRDefault="00D84020" w:rsidP="00D84020">
      <w:pPr>
        <w:pStyle w:val="BodyText"/>
        <w:spacing w:after="0" w:line="276" w:lineRule="auto"/>
        <w:ind w:firstLine="720"/>
        <w:rPr>
          <w:rFonts w:ascii="Constantia" w:hAnsi="Constantia"/>
          <w:lang w:val="en"/>
        </w:rPr>
      </w:pPr>
      <w:r w:rsidRPr="00D84020">
        <w:rPr>
          <w:rFonts w:ascii="Constantia" w:hAnsi="Constantia"/>
          <w:lang w:val="en"/>
        </w:rPr>
        <w:t xml:space="preserve">Studies conducted The UN Refugees Agency on </w:t>
      </w:r>
      <w:r w:rsidRPr="00D84020">
        <w:rPr>
          <w:rFonts w:ascii="Constantia" w:hAnsi="Constantia"/>
          <w:i/>
          <w:lang w:val="en"/>
        </w:rPr>
        <w:t xml:space="preserve">Global Trends, Forced Displacement </w:t>
      </w:r>
      <w:r w:rsidRPr="00D84020">
        <w:rPr>
          <w:rFonts w:ascii="Constantia" w:hAnsi="Constantia"/>
          <w:lang w:val="en"/>
        </w:rPr>
        <w:t xml:space="preserve">shows that at the end of 2017 as many as 68.5 million person </w:t>
      </w:r>
      <w:proofErr w:type="gramStart"/>
      <w:r w:rsidRPr="00D84020">
        <w:rPr>
          <w:rFonts w:ascii="Constantia" w:hAnsi="Constantia"/>
          <w:lang w:val="en"/>
        </w:rPr>
        <w:t>And</w:t>
      </w:r>
      <w:proofErr w:type="gramEnd"/>
      <w:r w:rsidRPr="00D84020">
        <w:rPr>
          <w:rFonts w:ascii="Constantia" w:hAnsi="Constantia"/>
          <w:lang w:val="en"/>
        </w:rPr>
        <w:t xml:space="preserve"> more half of it or 52% are children under 18 years of age, forcibly moved from one country to another. other countries due to being victims of persecution, conflict and violence. This population increased by 2.9 million people from year 2016 And the Syrian conflict contributed significantly to this increase (UNHCR, 2017). </w:t>
      </w:r>
      <w:r w:rsidRPr="00D84020">
        <w:rPr>
          <w:rFonts w:ascii="Constantia" w:hAnsi="Constantia"/>
          <w:lang w:val="en"/>
        </w:rPr>
        <w:tab/>
        <w:t>The increasing movement of people who bring identities in the form of immigrant cultural backgrounds encourages cosmopolitan views and global citizenship (Anker, 2017. p. 73).</w:t>
      </w:r>
    </w:p>
    <w:p w:rsidR="00D84020" w:rsidRPr="00D84020" w:rsidRDefault="00D84020" w:rsidP="00D84020">
      <w:pPr>
        <w:pStyle w:val="BodyText"/>
        <w:spacing w:after="0" w:line="276" w:lineRule="auto"/>
        <w:ind w:firstLine="720"/>
        <w:rPr>
          <w:rFonts w:ascii="Constantia" w:hAnsi="Constantia"/>
          <w:lang w:val="en"/>
        </w:rPr>
      </w:pPr>
      <w:r w:rsidRPr="00D84020">
        <w:rPr>
          <w:rFonts w:ascii="Constantia" w:hAnsi="Constantia"/>
          <w:lang w:val="en"/>
        </w:rPr>
        <w:t>Various problems and needs above, then required understanding and global insight</w:t>
      </w:r>
    </w:p>
    <w:p w:rsidR="00D84020" w:rsidRDefault="00D84020" w:rsidP="00D84020">
      <w:pPr>
        <w:pStyle w:val="BodyText"/>
        <w:spacing w:after="0" w:line="276" w:lineRule="auto"/>
        <w:ind w:firstLine="720"/>
        <w:rPr>
          <w:rFonts w:ascii="Constantia" w:hAnsi="Constantia"/>
          <w:lang w:val="en"/>
        </w:rPr>
      </w:pPr>
      <w:r w:rsidRPr="00D84020">
        <w:rPr>
          <w:rFonts w:ascii="Constantia" w:hAnsi="Constantia"/>
          <w:lang w:val="en"/>
        </w:rPr>
        <w:t>young generation for today's contemporary citizens. This article attempts to present the urgency of inclusive understanding in the context of global citizenship and strategies that can be implemented to form inclusive global citizens through global citizenship education. Global perspective becomes one of the main needs in contemporary citizens due to the increasing world problems whose solutions require</w:t>
      </w:r>
      <w:r w:rsidR="00D604FA">
        <w:rPr>
          <w:rFonts w:ascii="Constantia" w:hAnsi="Constantia"/>
          <w:lang w:val="en"/>
        </w:rPr>
        <w:t xml:space="preserve"> </w:t>
      </w:r>
      <w:r w:rsidRPr="00D84020">
        <w:rPr>
          <w:rFonts w:ascii="Constantia" w:hAnsi="Constantia"/>
          <w:lang w:val="en"/>
        </w:rPr>
        <w:t xml:space="preserve">interdependence and cooperation from all nations (Wahab and </w:t>
      </w:r>
      <w:proofErr w:type="spellStart"/>
      <w:r w:rsidRPr="00D84020">
        <w:rPr>
          <w:rFonts w:ascii="Constantia" w:hAnsi="Constantia"/>
          <w:lang w:val="en"/>
        </w:rPr>
        <w:t>Sapriya</w:t>
      </w:r>
      <w:proofErr w:type="spellEnd"/>
      <w:r w:rsidRPr="00D84020">
        <w:rPr>
          <w:rFonts w:ascii="Constantia" w:hAnsi="Constantia"/>
          <w:lang w:val="en"/>
        </w:rPr>
        <w:t xml:space="preserve">, 2011, pp. 235-237). This additional position as a global citizen </w:t>
      </w:r>
      <w:proofErr w:type="gramStart"/>
      <w:r w:rsidRPr="00D84020">
        <w:rPr>
          <w:rFonts w:ascii="Constantia" w:hAnsi="Constantia"/>
          <w:lang w:val="en"/>
        </w:rPr>
        <w:t>need</w:t>
      </w:r>
      <w:proofErr w:type="gramEnd"/>
      <w:r w:rsidRPr="00D84020">
        <w:rPr>
          <w:rFonts w:ascii="Constantia" w:hAnsi="Constantia"/>
          <w:lang w:val="en"/>
        </w:rPr>
        <w:t xml:space="preserve"> </w:t>
      </w:r>
      <w:r w:rsidR="00D604FA">
        <w:rPr>
          <w:rFonts w:ascii="Constantia" w:hAnsi="Constantia"/>
          <w:lang w:val="en"/>
        </w:rPr>
        <w:t>an</w:t>
      </w:r>
      <w:r w:rsidRPr="00D84020">
        <w:rPr>
          <w:rFonts w:ascii="Constantia" w:hAnsi="Constantia"/>
          <w:lang w:val="en"/>
        </w:rPr>
        <w:t xml:space="preserve"> ability </w:t>
      </w:r>
      <w:r w:rsidR="00D604FA">
        <w:rPr>
          <w:rFonts w:ascii="Constantia" w:hAnsi="Constantia"/>
          <w:lang w:val="en"/>
        </w:rPr>
        <w:t>a</w:t>
      </w:r>
      <w:r w:rsidRPr="00D84020">
        <w:rPr>
          <w:rFonts w:ascii="Constantia" w:hAnsi="Constantia"/>
          <w:lang w:val="en"/>
        </w:rPr>
        <w:t xml:space="preserve">nd global citizen competency. The ability to can think and understand globally not only about himself and his country but also about world problems. </w:t>
      </w:r>
    </w:p>
    <w:p w:rsidR="00D84020" w:rsidRPr="00D84020" w:rsidRDefault="00D84020" w:rsidP="00D84020">
      <w:pPr>
        <w:pStyle w:val="BodyText"/>
        <w:spacing w:after="0" w:line="276" w:lineRule="auto"/>
        <w:ind w:firstLine="720"/>
        <w:rPr>
          <w:rFonts w:ascii="Constantia" w:hAnsi="Constantia"/>
          <w:lang w:val="en"/>
        </w:rPr>
      </w:pPr>
      <w:r w:rsidRPr="00D84020">
        <w:rPr>
          <w:rFonts w:ascii="Constantia" w:hAnsi="Constantia"/>
          <w:lang w:val="en"/>
        </w:rPr>
        <w:t xml:space="preserve">The abilities and competencies of global citizens must be transformed in the </w:t>
      </w:r>
      <w:r w:rsidR="00D604FA">
        <w:rPr>
          <w:rFonts w:ascii="Constantia" w:hAnsi="Constantia"/>
          <w:lang w:val="en"/>
        </w:rPr>
        <w:t>formal</w:t>
      </w:r>
      <w:r w:rsidRPr="00D84020">
        <w:rPr>
          <w:rFonts w:ascii="Constantia" w:hAnsi="Constantia"/>
          <w:lang w:val="en"/>
        </w:rPr>
        <w:t xml:space="preserve"> education </w:t>
      </w:r>
      <w:r w:rsidR="00D604FA">
        <w:rPr>
          <w:rFonts w:ascii="Constantia" w:hAnsi="Constantia"/>
          <w:lang w:val="en"/>
        </w:rPr>
        <w:t>process</w:t>
      </w:r>
      <w:r w:rsidRPr="00D84020">
        <w:rPr>
          <w:rFonts w:ascii="Constantia" w:hAnsi="Constantia"/>
          <w:lang w:val="en"/>
        </w:rPr>
        <w:t xml:space="preserve">. Education moment This should produce graduates with an intellectual and nationalist mindset and how to encourage students as citizens. global which is in line with universal values. It is important for students to have perspectives and abilities about How he each other connected one </w:t>
      </w:r>
      <w:proofErr w:type="gramStart"/>
      <w:r w:rsidRPr="00D84020">
        <w:rPr>
          <w:rFonts w:ascii="Constantia" w:hAnsi="Constantia"/>
          <w:lang w:val="en"/>
        </w:rPr>
        <w:t>The</w:t>
      </w:r>
      <w:proofErr w:type="gramEnd"/>
      <w:r w:rsidRPr="00D84020">
        <w:rPr>
          <w:rFonts w:ascii="Constantia" w:hAnsi="Constantia"/>
          <w:lang w:val="en"/>
        </w:rPr>
        <w:t xml:space="preserve"> same other with participant educate in </w:t>
      </w:r>
      <w:proofErr w:type="gramStart"/>
      <w:r w:rsidRPr="00D84020">
        <w:rPr>
          <w:rFonts w:ascii="Constantia" w:hAnsi="Constantia"/>
          <w:lang w:val="en"/>
        </w:rPr>
        <w:t>other</w:t>
      </w:r>
      <w:proofErr w:type="gramEnd"/>
      <w:r w:rsidR="00D604FA">
        <w:rPr>
          <w:rFonts w:ascii="Constantia" w:hAnsi="Constantia"/>
          <w:lang w:val="en"/>
        </w:rPr>
        <w:t xml:space="preserve"> hemisphere</w:t>
      </w:r>
      <w:r w:rsidRPr="00D84020">
        <w:rPr>
          <w:rFonts w:ascii="Constantia" w:hAnsi="Constantia"/>
          <w:lang w:val="en"/>
        </w:rPr>
        <w:t xml:space="preserve"> world (Sarabhai, 2013). Global citizenship education is a way of understanding how the world works, the relationship between our own lives and people around the world. A way of seeing how social justice and equality, the realities of what happens to other people, diversity, connectedness and how people can make </w:t>
      </w:r>
      <w:r w:rsidR="00D604FA">
        <w:rPr>
          <w:rFonts w:ascii="Constantia" w:hAnsi="Constantia"/>
          <w:lang w:val="en"/>
        </w:rPr>
        <w:t xml:space="preserve">a </w:t>
      </w:r>
      <w:r w:rsidRPr="00D84020">
        <w:rPr>
          <w:rFonts w:ascii="Constantia" w:hAnsi="Constantia"/>
          <w:lang w:val="en"/>
        </w:rPr>
        <w:t>difference.</w:t>
      </w:r>
    </w:p>
    <w:p w:rsidR="00D84020" w:rsidRDefault="00D84020" w:rsidP="00D84020">
      <w:pPr>
        <w:pStyle w:val="BodyText"/>
        <w:spacing w:line="276" w:lineRule="auto"/>
        <w:rPr>
          <w:rFonts w:ascii="Constantia" w:hAnsi="Constantia"/>
          <w:lang w:val="en"/>
        </w:rPr>
      </w:pPr>
      <w:r w:rsidRPr="00D84020">
        <w:rPr>
          <w:rFonts w:ascii="Constantia" w:hAnsi="Constantia"/>
          <w:lang w:val="en"/>
        </w:rPr>
        <w:t xml:space="preserve">There are three dimensions main which often mentioned in nationality global by Morais   and Ogden (2010) translates as follows social responsibility </w:t>
      </w:r>
      <w:r w:rsidRPr="00D84020">
        <w:rPr>
          <w:rFonts w:ascii="Constantia" w:hAnsi="Constantia"/>
          <w:i/>
          <w:lang w:val="en"/>
        </w:rPr>
        <w:t xml:space="preserve">, </w:t>
      </w:r>
      <w:r w:rsidRPr="00D84020">
        <w:rPr>
          <w:rFonts w:ascii="Constantia" w:hAnsi="Constantia"/>
          <w:lang w:val="en"/>
        </w:rPr>
        <w:t xml:space="preserve">global competence </w:t>
      </w:r>
      <w:r w:rsidRPr="00D84020">
        <w:rPr>
          <w:rFonts w:ascii="Constantia" w:hAnsi="Constantia"/>
          <w:i/>
          <w:lang w:val="en"/>
        </w:rPr>
        <w:t xml:space="preserve">, </w:t>
      </w:r>
      <w:r w:rsidRPr="00D84020">
        <w:rPr>
          <w:rFonts w:ascii="Constantia" w:hAnsi="Constantia"/>
          <w:lang w:val="en"/>
        </w:rPr>
        <w:t xml:space="preserve">and global </w:t>
      </w:r>
      <w:r w:rsidRPr="00D84020">
        <w:rPr>
          <w:rFonts w:ascii="Constantia" w:hAnsi="Constantia"/>
          <w:i/>
          <w:lang w:val="en"/>
        </w:rPr>
        <w:t xml:space="preserve">civic engagement. </w:t>
      </w:r>
      <w:r w:rsidRPr="00D84020">
        <w:rPr>
          <w:rFonts w:ascii="Constantia" w:hAnsi="Constantia"/>
          <w:lang w:val="en"/>
        </w:rPr>
        <w:t xml:space="preserve">Social responsibility is defined as the level of awareness of interdependence and social concern for others, society, and the environment. Students can be trained in social responsibility by participating in evaluating social problems such as injustice and social inequality. Global competence is defined as the ability to have an open mind. And  in a way  effective  try  </w:t>
      </w:r>
      <w:proofErr w:type="gramStart"/>
      <w:r w:rsidRPr="00D84020">
        <w:rPr>
          <w:rFonts w:ascii="Constantia" w:hAnsi="Constantia"/>
          <w:lang w:val="en"/>
        </w:rPr>
        <w:t>understand</w:t>
      </w:r>
      <w:proofErr w:type="gramEnd"/>
      <w:r w:rsidRPr="00D84020">
        <w:rPr>
          <w:rFonts w:ascii="Constantia" w:hAnsi="Constantia"/>
          <w:lang w:val="en"/>
        </w:rPr>
        <w:t xml:space="preserve"> cultural norms of others and utilize the knowledge they have to interact, communicate and work together. The global competence dimension can be developed in citizenship education learning by using approach think </w:t>
      </w:r>
      <w:proofErr w:type="gramStart"/>
      <w:r w:rsidRPr="00D84020">
        <w:rPr>
          <w:rFonts w:ascii="Constantia" w:hAnsi="Constantia"/>
          <w:lang w:val="en"/>
        </w:rPr>
        <w:t>critical</w:t>
      </w:r>
      <w:proofErr w:type="gramEnd"/>
      <w:r w:rsidRPr="00D84020">
        <w:rPr>
          <w:rFonts w:ascii="Constantia" w:hAnsi="Constantia"/>
          <w:lang w:val="en"/>
        </w:rPr>
        <w:t xml:space="preserve">. Meanwhile, involvement in global citizenship ( </w:t>
      </w:r>
      <w:r w:rsidRPr="00D84020">
        <w:rPr>
          <w:rFonts w:ascii="Constantia" w:hAnsi="Constantia"/>
          <w:i/>
          <w:lang w:val="en"/>
        </w:rPr>
        <w:t xml:space="preserve">civic engagement </w:t>
      </w:r>
      <w:r w:rsidRPr="00D84020">
        <w:rPr>
          <w:rFonts w:ascii="Constantia" w:hAnsi="Constantia"/>
          <w:lang w:val="en"/>
        </w:rPr>
        <w:t>) is defined as an action or tendency to recognize community problems at local, national and global levels by participating in community activities and participation (</w:t>
      </w:r>
      <w:proofErr w:type="spellStart"/>
      <w:r w:rsidRPr="00D84020">
        <w:rPr>
          <w:rFonts w:ascii="Constantia" w:hAnsi="Constantia"/>
          <w:lang w:val="en"/>
        </w:rPr>
        <w:t>Noddings</w:t>
      </w:r>
      <w:proofErr w:type="spellEnd"/>
      <w:r w:rsidRPr="00D84020">
        <w:rPr>
          <w:rFonts w:ascii="Constantia" w:hAnsi="Constantia"/>
          <w:lang w:val="en"/>
        </w:rPr>
        <w:t xml:space="preserve">, 2005; Dobson, 2003; Westheimer &amp; Kahne, 2004; Carens, 2000; </w:t>
      </w:r>
      <w:proofErr w:type="spellStart"/>
      <w:r w:rsidRPr="00D84020">
        <w:rPr>
          <w:rFonts w:ascii="Constantia" w:hAnsi="Constantia"/>
          <w:lang w:val="en"/>
        </w:rPr>
        <w:t>Langran</w:t>
      </w:r>
      <w:proofErr w:type="spellEnd"/>
      <w:r w:rsidRPr="00D84020">
        <w:rPr>
          <w:rFonts w:ascii="Constantia" w:hAnsi="Constantia"/>
          <w:lang w:val="en"/>
        </w:rPr>
        <w:t xml:space="preserve">, </w:t>
      </w:r>
      <w:proofErr w:type="spellStart"/>
      <w:r w:rsidRPr="00D84020">
        <w:rPr>
          <w:rFonts w:ascii="Constantia" w:hAnsi="Constantia"/>
          <w:lang w:val="en"/>
        </w:rPr>
        <w:t>Langran</w:t>
      </w:r>
      <w:proofErr w:type="spellEnd"/>
      <w:r w:rsidRPr="00D84020">
        <w:rPr>
          <w:rFonts w:ascii="Constantia" w:hAnsi="Constantia"/>
          <w:lang w:val="en"/>
        </w:rPr>
        <w:t>, &amp; Ozment, 2009).</w:t>
      </w:r>
    </w:p>
    <w:p w:rsidR="00D84020" w:rsidRPr="00D84020" w:rsidRDefault="00D84020" w:rsidP="00D84020">
      <w:pPr>
        <w:pStyle w:val="BodyText"/>
        <w:spacing w:line="276" w:lineRule="auto"/>
        <w:rPr>
          <w:rFonts w:ascii="Constantia" w:hAnsi="Constantia"/>
          <w:lang w:val="en"/>
        </w:rPr>
      </w:pPr>
    </w:p>
    <w:p w:rsidR="00D84020" w:rsidRDefault="00D84020" w:rsidP="00D84020">
      <w:pPr>
        <w:pStyle w:val="BodyText"/>
        <w:spacing w:after="0" w:line="276" w:lineRule="auto"/>
        <w:ind w:firstLine="0"/>
        <w:rPr>
          <w:rFonts w:ascii="Constantia" w:hAnsi="Constantia"/>
          <w:b/>
          <w:bCs/>
          <w:lang w:val="en"/>
        </w:rPr>
      </w:pPr>
      <w:r w:rsidRPr="00D84020">
        <w:rPr>
          <w:rFonts w:ascii="Constantia" w:hAnsi="Constantia"/>
          <w:b/>
          <w:bCs/>
          <w:lang w:val="en"/>
        </w:rPr>
        <w:t xml:space="preserve">Method </w:t>
      </w:r>
    </w:p>
    <w:p w:rsidR="00D84020" w:rsidRPr="00D84020" w:rsidRDefault="00D84020" w:rsidP="00D84020">
      <w:pPr>
        <w:pStyle w:val="BodyText"/>
        <w:spacing w:after="0" w:line="276" w:lineRule="auto"/>
        <w:ind w:firstLine="0"/>
        <w:rPr>
          <w:rFonts w:ascii="Constantia" w:hAnsi="Constantia"/>
          <w:lang w:val="en"/>
        </w:rPr>
      </w:pPr>
      <w:r>
        <w:rPr>
          <w:rFonts w:ascii="Constantia" w:hAnsi="Constantia"/>
          <w:b/>
          <w:bCs/>
          <w:lang w:val="en"/>
        </w:rPr>
        <w:tab/>
      </w:r>
      <w:r>
        <w:rPr>
          <w:rFonts w:ascii="Constantia" w:hAnsi="Constantia"/>
          <w:b/>
          <w:bCs/>
          <w:lang w:val="en"/>
        </w:rPr>
        <w:tab/>
      </w:r>
      <w:r w:rsidRPr="00D84020">
        <w:rPr>
          <w:rFonts w:ascii="Constantia" w:hAnsi="Constantia"/>
          <w:lang w:val="en"/>
        </w:rPr>
        <w:t xml:space="preserve">This research is included in the scope of the qualitative approach because it attempts to interpret data in a natural way. </w:t>
      </w:r>
      <w:proofErr w:type="gramStart"/>
      <w:r w:rsidRPr="00D84020">
        <w:rPr>
          <w:rFonts w:ascii="Constantia" w:hAnsi="Constantia"/>
          <w:lang w:val="en"/>
        </w:rPr>
        <w:t>actually</w:t>
      </w:r>
      <w:proofErr w:type="gramEnd"/>
      <w:r w:rsidRPr="00D84020">
        <w:rPr>
          <w:rFonts w:ascii="Constantia" w:hAnsi="Constantia"/>
          <w:lang w:val="en"/>
        </w:rPr>
        <w:t xml:space="preserve"> happens in the field. The research conducted focuses on natural activities that occur in all learning processes both in and outside the classroom for students in the Program  Studies  Education  Pancasila  </w:t>
      </w:r>
      <w:proofErr w:type="gramStart"/>
      <w:r w:rsidRPr="00D84020">
        <w:rPr>
          <w:rFonts w:ascii="Constantia" w:hAnsi="Constantia"/>
          <w:lang w:val="en"/>
        </w:rPr>
        <w:t>And</w:t>
      </w:r>
      <w:proofErr w:type="gramEnd"/>
      <w:r w:rsidRPr="00D84020">
        <w:rPr>
          <w:rFonts w:ascii="Constantia" w:hAnsi="Constantia"/>
          <w:lang w:val="en"/>
        </w:rPr>
        <w:t xml:space="preserve"> Citizenship of Surabaya State of University. The method used in this study is the case study research method. Through the case study method, researchers can identify in detail the matters relating to a program, namely the global citizenship education program at a location, namely Surabaya State University, especially in the Pancasila and Citizenship Education Study Program with the aim of gain knowledge about the event comprehensively. (Creswell, 2015. P. 97).</w:t>
      </w:r>
    </w:p>
    <w:p w:rsidR="00D84020" w:rsidRPr="00D84020" w:rsidRDefault="00D84020" w:rsidP="00D84020">
      <w:pPr>
        <w:pStyle w:val="BodyText"/>
        <w:spacing w:after="0" w:line="276" w:lineRule="auto"/>
        <w:ind w:firstLine="720"/>
        <w:rPr>
          <w:rFonts w:ascii="Constantia" w:hAnsi="Constantia"/>
          <w:lang w:val="en"/>
        </w:rPr>
      </w:pPr>
      <w:r w:rsidRPr="00D84020">
        <w:rPr>
          <w:rFonts w:ascii="Constantia" w:hAnsi="Constantia"/>
          <w:lang w:val="en"/>
        </w:rPr>
        <w:t xml:space="preserve">The case that is interesting in this research is concretely in Surabaya State University. From the strategic plan of Surabaya State University 2016-2020 can be seen that Surabaya State University, a university where stakeholders </w:t>
      </w:r>
      <w:r w:rsidRPr="00D84020">
        <w:rPr>
          <w:rFonts w:ascii="Constantia" w:hAnsi="Constantia"/>
          <w:i/>
          <w:lang w:val="en"/>
        </w:rPr>
        <w:t xml:space="preserve">are </w:t>
      </w:r>
      <w:r w:rsidRPr="00D84020">
        <w:rPr>
          <w:rFonts w:ascii="Constantia" w:hAnsi="Constantia"/>
          <w:lang w:val="en"/>
        </w:rPr>
        <w:t>committed to becoming a leading educational university at national and global level</w:t>
      </w:r>
      <w:r w:rsidR="00D604FA">
        <w:rPr>
          <w:rFonts w:ascii="Constantia" w:hAnsi="Constantia"/>
          <w:lang w:val="en"/>
        </w:rPr>
        <w:t>s</w:t>
      </w:r>
      <w:r w:rsidRPr="00D84020">
        <w:rPr>
          <w:rFonts w:ascii="Constantia" w:hAnsi="Constantia"/>
          <w:lang w:val="en"/>
        </w:rPr>
        <w:t xml:space="preserve"> by developing various programs to realize </w:t>
      </w:r>
      <w:r w:rsidRPr="00D84020">
        <w:rPr>
          <w:rFonts w:ascii="Constantia" w:hAnsi="Constantia"/>
          <w:i/>
          <w:lang w:val="en"/>
        </w:rPr>
        <w:t xml:space="preserve">the milestone </w:t>
      </w:r>
      <w:r w:rsidRPr="00D84020">
        <w:rPr>
          <w:rFonts w:ascii="Constantia" w:hAnsi="Constantia"/>
          <w:lang w:val="en"/>
        </w:rPr>
        <w:t xml:space="preserve">vision of Surabaya State University. so that expected student </w:t>
      </w:r>
      <w:proofErr w:type="gramStart"/>
      <w:r w:rsidRPr="00D84020">
        <w:rPr>
          <w:rFonts w:ascii="Constantia" w:hAnsi="Constantia"/>
          <w:lang w:val="en"/>
        </w:rPr>
        <w:t>have</w:t>
      </w:r>
      <w:proofErr w:type="gramEnd"/>
      <w:r w:rsidRPr="00D84020">
        <w:rPr>
          <w:rFonts w:ascii="Constantia" w:hAnsi="Constantia"/>
          <w:lang w:val="en"/>
        </w:rPr>
        <w:t xml:space="preserve"> the insight and skills needed when This idea means that a case study is a detailed examination of a single setting or a single subject or a single repository of documents or a single event. (Bogdan and Biklen, 1982, p. 82)</w:t>
      </w:r>
    </w:p>
    <w:p w:rsidR="00D84020" w:rsidRPr="00D84020" w:rsidRDefault="00D84020" w:rsidP="00D84020">
      <w:pPr>
        <w:pStyle w:val="BodyText"/>
        <w:spacing w:after="0" w:line="276" w:lineRule="auto"/>
        <w:ind w:firstLine="720"/>
        <w:rPr>
          <w:rFonts w:ascii="Constantia" w:hAnsi="Constantia"/>
          <w:lang w:val="en"/>
        </w:rPr>
      </w:pPr>
      <w:r w:rsidRPr="00D84020">
        <w:rPr>
          <w:rFonts w:ascii="Constantia" w:hAnsi="Constantia"/>
          <w:lang w:val="en"/>
        </w:rPr>
        <w:t xml:space="preserve">This study uses various techniques in data collection, namely observation of the environment and student learning activities that lead to the dimension of developing students' global insight, interviews with academics who have experience with global citizenship education programs, </w:t>
      </w:r>
      <w:r w:rsidR="00D604FA">
        <w:rPr>
          <w:rFonts w:ascii="Constantia" w:hAnsi="Constantia"/>
          <w:lang w:val="en"/>
        </w:rPr>
        <w:t xml:space="preserve">and </w:t>
      </w:r>
      <w:r w:rsidRPr="00D84020">
        <w:rPr>
          <w:rFonts w:ascii="Constantia" w:hAnsi="Constantia"/>
          <w:lang w:val="en"/>
        </w:rPr>
        <w:t>groups. discussion with various line in the community</w:t>
      </w:r>
      <w:r w:rsidR="00D604FA">
        <w:rPr>
          <w:rFonts w:ascii="Constantia" w:hAnsi="Constantia"/>
          <w:lang w:val="en"/>
        </w:rPr>
        <w:t>,</w:t>
      </w:r>
      <w:r w:rsidRPr="00D84020">
        <w:rPr>
          <w:rFonts w:ascii="Constantia" w:hAnsi="Constantia"/>
          <w:lang w:val="en"/>
        </w:rPr>
        <w:t xml:space="preserve"> academics</w:t>
      </w:r>
      <w:r w:rsidR="00D604FA">
        <w:rPr>
          <w:rFonts w:ascii="Constantia" w:hAnsi="Constantia"/>
          <w:lang w:val="en"/>
        </w:rPr>
        <w:t>,</w:t>
      </w:r>
      <w:r w:rsidRPr="00D84020">
        <w:rPr>
          <w:rFonts w:ascii="Constantia" w:hAnsi="Constantia"/>
          <w:lang w:val="en"/>
        </w:rPr>
        <w:t xml:space="preserve"> Program Studies For to study and analyze information and data together and documentation techniques to see how lecturers plan to teach global citizenship education programs in the context of learning. Qualitative research is characterized by using more diverse data collection methods than quantitative research (Creswell, 2015).</w:t>
      </w:r>
    </w:p>
    <w:p w:rsidR="00D84020" w:rsidRPr="00D84020" w:rsidRDefault="00D84020" w:rsidP="00D84020">
      <w:pPr>
        <w:pStyle w:val="BodyText"/>
        <w:spacing w:before="240" w:after="0" w:line="276" w:lineRule="auto"/>
        <w:ind w:firstLine="0"/>
        <w:rPr>
          <w:rFonts w:ascii="Constantia" w:hAnsi="Constantia"/>
          <w:b/>
          <w:bCs/>
          <w:lang w:val="en"/>
        </w:rPr>
      </w:pPr>
      <w:r w:rsidRPr="00D84020">
        <w:rPr>
          <w:rFonts w:ascii="Constantia" w:hAnsi="Constantia"/>
          <w:b/>
          <w:bCs/>
          <w:lang w:val="en"/>
        </w:rPr>
        <w:t>Results And Discussion</w:t>
      </w:r>
    </w:p>
    <w:p w:rsidR="00D84020" w:rsidRPr="00D84020" w:rsidRDefault="00D84020" w:rsidP="00D84020">
      <w:pPr>
        <w:pStyle w:val="BodyText"/>
        <w:spacing w:after="0" w:line="276" w:lineRule="auto"/>
        <w:ind w:firstLine="720"/>
        <w:rPr>
          <w:rFonts w:ascii="Constantia" w:hAnsi="Constantia"/>
          <w:bCs/>
          <w:lang w:val="en"/>
        </w:rPr>
      </w:pPr>
      <w:r w:rsidRPr="00D84020">
        <w:rPr>
          <w:rFonts w:ascii="Constantia" w:hAnsi="Constantia"/>
          <w:bCs/>
          <w:lang w:val="en"/>
        </w:rPr>
        <w:t>The strategy for forming the</w:t>
      </w:r>
      <w:r w:rsidR="00D604FA">
        <w:rPr>
          <w:rFonts w:ascii="Constantia" w:hAnsi="Constantia"/>
          <w:bCs/>
          <w:lang w:val="en"/>
        </w:rPr>
        <w:t xml:space="preserve"> </w:t>
      </w:r>
      <w:r w:rsidRPr="00D84020">
        <w:rPr>
          <w:rFonts w:ascii="Constantia" w:hAnsi="Constantia"/>
          <w:bCs/>
          <w:lang w:val="en"/>
        </w:rPr>
        <w:t>knowledge, skills and attitudes of inclusive global citizens can be carried out using a global citizenship education approach on school</w:t>
      </w:r>
      <w:r w:rsidR="00D604FA">
        <w:rPr>
          <w:rFonts w:ascii="Constantia" w:hAnsi="Constantia"/>
          <w:bCs/>
          <w:lang w:val="en"/>
        </w:rPr>
        <w:t>s</w:t>
      </w:r>
      <w:r w:rsidRPr="00D84020">
        <w:rPr>
          <w:rFonts w:ascii="Constantia" w:hAnsi="Constantia"/>
          <w:bCs/>
          <w:lang w:val="en"/>
        </w:rPr>
        <w:t xml:space="preserve"> or formal institutions. global citizenship education covers the following main themes: </w:t>
      </w:r>
      <w:r w:rsidRPr="00D84020">
        <w:rPr>
          <w:rFonts w:ascii="Constantia" w:hAnsi="Constantia"/>
          <w:bCs/>
          <w:i/>
          <w:lang w:val="en"/>
        </w:rPr>
        <w:t xml:space="preserve">First </w:t>
      </w:r>
      <w:r w:rsidRPr="00D84020">
        <w:rPr>
          <w:rFonts w:ascii="Constantia" w:hAnsi="Constantia"/>
          <w:bCs/>
          <w:lang w:val="en"/>
        </w:rPr>
        <w:t>, the concept of justice and equality, the concept of justice expected in global citizenship education is not to impose the ideology or values of the majority on minority groups; pay attention to minority races, genders And group marginal Which vulnerable to discriminatory treatment; provide participatory space for refugees, transnational migrants and asylum seekers so that they can voice their rights. Global citizenship education needs to provide space for discuss about values</w:t>
      </w:r>
      <w:r w:rsidR="00D604FA">
        <w:rPr>
          <w:rFonts w:ascii="Constantia" w:hAnsi="Constantia"/>
          <w:bCs/>
          <w:lang w:val="en"/>
        </w:rPr>
        <w:t>,</w:t>
      </w:r>
      <w:r w:rsidRPr="00D84020">
        <w:rPr>
          <w:rFonts w:ascii="Constantia" w:hAnsi="Constantia"/>
          <w:bCs/>
          <w:lang w:val="en"/>
        </w:rPr>
        <w:t xml:space="preserve"> justice universally acceptable in each country. (Shultz, 2018).</w:t>
      </w:r>
    </w:p>
    <w:p w:rsidR="00D84020" w:rsidRPr="00D84020" w:rsidRDefault="00D84020" w:rsidP="00D84020">
      <w:pPr>
        <w:pStyle w:val="BodyText"/>
        <w:spacing w:after="0" w:line="276" w:lineRule="auto"/>
        <w:ind w:firstLine="720"/>
        <w:rPr>
          <w:rFonts w:ascii="Constantia" w:hAnsi="Constantia"/>
          <w:lang w:val="en"/>
        </w:rPr>
      </w:pPr>
      <w:r w:rsidRPr="00D84020">
        <w:rPr>
          <w:rFonts w:ascii="Constantia" w:hAnsi="Constantia"/>
          <w:i/>
          <w:lang w:val="en"/>
        </w:rPr>
        <w:t>Second</w:t>
      </w:r>
      <w:r w:rsidRPr="00D84020">
        <w:rPr>
          <w:rFonts w:ascii="Constantia" w:hAnsi="Constantia"/>
          <w:lang w:val="en"/>
        </w:rPr>
        <w:t>, the concept diversity</w:t>
      </w:r>
      <w:r w:rsidR="00D604FA">
        <w:rPr>
          <w:rFonts w:ascii="Constantia" w:hAnsi="Constantia"/>
          <w:lang w:val="en"/>
        </w:rPr>
        <w:t>.</w:t>
      </w:r>
      <w:r w:rsidRPr="00D84020">
        <w:rPr>
          <w:rFonts w:ascii="Constantia" w:hAnsi="Constantia"/>
          <w:lang w:val="en"/>
        </w:rPr>
        <w:t xml:space="preserve"> With the increasing transnational migration in various countries, global citizenship education aims to emphasize to students to respect the identities and backgrounds of other students as an opportunity to make learning class</w:t>
      </w:r>
      <w:r w:rsidR="00D604FA">
        <w:rPr>
          <w:rFonts w:ascii="Constantia" w:hAnsi="Constantia"/>
          <w:lang w:val="en"/>
        </w:rPr>
        <w:t>es</w:t>
      </w:r>
      <w:r w:rsidRPr="00D84020">
        <w:rPr>
          <w:rFonts w:ascii="Constantia" w:hAnsi="Constantia"/>
          <w:lang w:val="en"/>
        </w:rPr>
        <w:t xml:space="preserve"> become more meaningful; make the environment and school learning that is responsive to cultural diversity (Hattam, 2018). Global citizenship leads to Recognition of diversity at local, national and global levels and a pluralist perspective </w:t>
      </w:r>
      <w:r w:rsidR="00D604FA">
        <w:rPr>
          <w:rFonts w:ascii="Constantia" w:hAnsi="Constantia"/>
          <w:lang w:val="en"/>
        </w:rPr>
        <w:t>is</w:t>
      </w:r>
      <w:r w:rsidRPr="00D84020">
        <w:rPr>
          <w:rFonts w:ascii="Constantia" w:hAnsi="Constantia"/>
          <w:lang w:val="en"/>
        </w:rPr>
        <w:t xml:space="preserve"> tool for accepting and appreciating this diversity. This perspective potential to be developed in the curriculum school</w:t>
      </w:r>
      <w:r w:rsidR="00D604FA">
        <w:rPr>
          <w:rFonts w:ascii="Constantia" w:hAnsi="Constantia"/>
          <w:lang w:val="en"/>
        </w:rPr>
        <w:t>s</w:t>
      </w:r>
      <w:r w:rsidRPr="00D84020">
        <w:rPr>
          <w:rFonts w:ascii="Constantia" w:hAnsi="Constantia"/>
          <w:lang w:val="en"/>
        </w:rPr>
        <w:t xml:space="preserve"> in a pedagogical </w:t>
      </w:r>
      <w:proofErr w:type="gramStart"/>
      <w:r w:rsidRPr="00D84020">
        <w:rPr>
          <w:rFonts w:ascii="Constantia" w:hAnsi="Constantia"/>
          <w:lang w:val="en"/>
        </w:rPr>
        <w:t>And</w:t>
      </w:r>
      <w:proofErr w:type="gramEnd"/>
      <w:r w:rsidRPr="00D84020">
        <w:rPr>
          <w:rFonts w:ascii="Constantia" w:hAnsi="Constantia"/>
          <w:lang w:val="en"/>
        </w:rPr>
        <w:t xml:space="preserve"> co-curricular in the context of socio-economic, political and cultural (Marshall, 2011). Todd added that pluralism is not just an aggregation of identities, namely the collection of various identities into one, but there is a relationship of communication and dynamics in the new community (2009, p. 2). There needs to be education and diversity training, positive attitude change, global citizenship and leadership, understanding of universal human rights and active global citizenship (Marshella, 2009).</w:t>
      </w:r>
    </w:p>
    <w:p w:rsidR="00D84020" w:rsidRPr="00D84020" w:rsidRDefault="00D84020" w:rsidP="00D84020">
      <w:pPr>
        <w:pStyle w:val="BodyText"/>
        <w:spacing w:after="0" w:line="276" w:lineRule="auto"/>
        <w:ind w:firstLine="720"/>
        <w:rPr>
          <w:rFonts w:ascii="Constantia" w:hAnsi="Constantia"/>
          <w:lang w:val="en"/>
        </w:rPr>
      </w:pPr>
      <w:r w:rsidRPr="00D84020">
        <w:rPr>
          <w:rFonts w:ascii="Constantia" w:hAnsi="Constantia"/>
          <w:i/>
          <w:lang w:val="en"/>
        </w:rPr>
        <w:t xml:space="preserve">Third </w:t>
      </w:r>
      <w:r w:rsidRPr="00D84020">
        <w:rPr>
          <w:rFonts w:ascii="Constantia" w:hAnsi="Constantia"/>
          <w:lang w:val="en"/>
        </w:rPr>
        <w:t xml:space="preserve">, the concept of sustainable development. The three pillars of sustainable development are increasingly recognized since the 21st century education agenda, the three pillars are: Economy, an economically sustainable system means it must be able to produce goods and services sustainably, to balance the wheels of rotation. goods and world services and to avoid imbalances that damage agricultural and industrial production; the environment, environmentally friendly systems must be maintained for the sustainability of life, avoiding excessive exploitation of natural resources, including the maintenance of biodiversity, atmospheric stability and the functioning of the environment. ecosystem others; Social, a socially sustainable system must achieve justice  in  distribution  rights  majority and minorities, provision of adequate social services including health, education, gender equality and political accountability and participation (Pashby, 2018). Education moment This must force student </w:t>
      </w:r>
      <w:proofErr w:type="gramStart"/>
      <w:r w:rsidRPr="00D84020">
        <w:rPr>
          <w:rFonts w:ascii="Constantia" w:hAnsi="Constantia"/>
          <w:lang w:val="en"/>
        </w:rPr>
        <w:t>For</w:t>
      </w:r>
      <w:proofErr w:type="gramEnd"/>
      <w:r w:rsidRPr="00D84020">
        <w:rPr>
          <w:rFonts w:ascii="Constantia" w:hAnsi="Constantia"/>
          <w:lang w:val="en"/>
        </w:rPr>
        <w:t xml:space="preserve"> become agent change local and global in protecting the environment as an encouragement to form active global citizens (Fujiwara, 2009).</w:t>
      </w:r>
    </w:p>
    <w:p w:rsidR="00D84020" w:rsidRPr="00D84020" w:rsidRDefault="00D84020" w:rsidP="00D84020">
      <w:pPr>
        <w:pStyle w:val="BodyText"/>
        <w:spacing w:after="0" w:line="276" w:lineRule="auto"/>
        <w:rPr>
          <w:rFonts w:ascii="Constantia" w:hAnsi="Constantia"/>
          <w:lang w:val="en"/>
        </w:rPr>
      </w:pPr>
      <w:r w:rsidRPr="00D84020">
        <w:rPr>
          <w:rFonts w:ascii="Constantia" w:hAnsi="Constantia"/>
          <w:lang w:val="en"/>
        </w:rPr>
        <w:t xml:space="preserve">Global learning curriculum requires complete conditions, processes and attributes that encourage the formation of global awareness, skills and attitudes of students. To achieve the results of competency, skills and attitude global participant educate, need in terms of learning environment conditions, attributes and learning processes (Gibson, Rimmington &amp; Brown, 2008). In the Pancasila and Citizenship Education Study Program to achieve students' global insight, namely understanding, global skills and attitudes are formed through the available learning environment in the form of supporting facilities and infrastructure as well as motivation and exemplary lecturers. While the attributes and learning processes developed by the Pancasila and Citizenship Education Study Program include critical and participatory learning, service learning, comparative study learning, community discussions and student involvement actions in solving local to global issues. The existence of learning conditions and environments that are developed as well as attribute </w:t>
      </w:r>
      <w:proofErr w:type="gramStart"/>
      <w:r w:rsidRPr="00D84020">
        <w:rPr>
          <w:rFonts w:ascii="Constantia" w:hAnsi="Constantia"/>
          <w:lang w:val="en"/>
        </w:rPr>
        <w:t>And</w:t>
      </w:r>
      <w:proofErr w:type="gramEnd"/>
      <w:r w:rsidRPr="00D84020">
        <w:rPr>
          <w:rFonts w:ascii="Constantia" w:hAnsi="Constantia"/>
          <w:lang w:val="en"/>
        </w:rPr>
        <w:t xml:space="preserve"> process existing learning has had an impact on the formation of students' global insight, namely a set of knowledge and understanding, skills and attitudes of global citizens.</w:t>
      </w:r>
    </w:p>
    <w:p w:rsidR="00D84020" w:rsidRPr="00D84020" w:rsidRDefault="00D84020" w:rsidP="00D84020">
      <w:pPr>
        <w:pStyle w:val="BodyText"/>
        <w:spacing w:after="0" w:line="276" w:lineRule="auto"/>
        <w:ind w:firstLine="720"/>
        <w:rPr>
          <w:rFonts w:ascii="Constantia" w:hAnsi="Constantia"/>
          <w:lang w:val="en"/>
        </w:rPr>
      </w:pPr>
      <w:r w:rsidRPr="00D84020">
        <w:rPr>
          <w:rFonts w:ascii="Constantia" w:hAnsi="Constantia"/>
          <w:lang w:val="en"/>
        </w:rPr>
        <w:t xml:space="preserve">Some efforts that can be made by universities tall in to form competence inclusive global citizens include: </w:t>
      </w:r>
      <w:r w:rsidRPr="00D84020">
        <w:rPr>
          <w:rFonts w:ascii="Constantia" w:hAnsi="Constantia"/>
          <w:i/>
          <w:lang w:val="en"/>
        </w:rPr>
        <w:t xml:space="preserve">First </w:t>
      </w:r>
      <w:r w:rsidRPr="00D84020">
        <w:rPr>
          <w:rFonts w:ascii="Constantia" w:hAnsi="Constantia"/>
          <w:lang w:val="en"/>
        </w:rPr>
        <w:t xml:space="preserve">, implementing a learning approach developed through curricular and organizational learning that aims to provide students with awareness and understanding of their part of the world. </w:t>
      </w:r>
      <w:r w:rsidRPr="00D84020">
        <w:rPr>
          <w:rFonts w:ascii="Constantia" w:hAnsi="Constantia"/>
          <w:i/>
          <w:lang w:val="en"/>
        </w:rPr>
        <w:t xml:space="preserve">Second, </w:t>
      </w:r>
      <w:r w:rsidRPr="00D84020">
        <w:rPr>
          <w:rFonts w:ascii="Constantia" w:hAnsi="Constantia"/>
          <w:lang w:val="en"/>
        </w:rPr>
        <w:t xml:space="preserve">the implications of global citizenship education programs for the development of student activities. This section will be discussed with various journals on global education approaches developed through student activities such as student exchanges, service learning and </w:t>
      </w:r>
      <w:r w:rsidRPr="00D84020">
        <w:rPr>
          <w:rFonts w:ascii="Constantia" w:hAnsi="Constantia"/>
          <w:i/>
          <w:lang w:val="en"/>
        </w:rPr>
        <w:t>civic engagement</w:t>
      </w:r>
      <w:r w:rsidRPr="00D84020">
        <w:rPr>
          <w:rFonts w:ascii="Constantia" w:hAnsi="Constantia"/>
          <w:lang w:val="en"/>
        </w:rPr>
        <w:t xml:space="preserve">. </w:t>
      </w:r>
      <w:r w:rsidRPr="00D84020">
        <w:rPr>
          <w:rFonts w:ascii="Constantia" w:hAnsi="Constantia"/>
          <w:i/>
          <w:lang w:val="en"/>
        </w:rPr>
        <w:t xml:space="preserve">Third, </w:t>
      </w:r>
      <w:r w:rsidRPr="00D84020">
        <w:rPr>
          <w:rFonts w:ascii="Constantia" w:hAnsi="Constantia"/>
          <w:lang w:val="en"/>
        </w:rPr>
        <w:t xml:space="preserve">the implications of global citizenship education programs for the development of learning environments developed by universities. </w:t>
      </w:r>
      <w:r w:rsidRPr="00D84020">
        <w:rPr>
          <w:rFonts w:ascii="Constantia" w:hAnsi="Constantia"/>
          <w:i/>
          <w:lang w:val="en"/>
        </w:rPr>
        <w:t xml:space="preserve">Fourth, </w:t>
      </w:r>
      <w:r w:rsidRPr="00D84020">
        <w:rPr>
          <w:rFonts w:ascii="Constantia" w:hAnsi="Constantia"/>
          <w:lang w:val="en"/>
        </w:rPr>
        <w:t>the implications of global citizenship education programs for the development of learning curricula that can be developed by universities.</w:t>
      </w:r>
    </w:p>
    <w:p w:rsidR="00D84020" w:rsidRPr="00D84020" w:rsidRDefault="00D84020" w:rsidP="00D84020">
      <w:pPr>
        <w:pStyle w:val="BodyText"/>
        <w:spacing w:after="0" w:line="276" w:lineRule="auto"/>
        <w:rPr>
          <w:rFonts w:ascii="Constantia" w:hAnsi="Constantia"/>
        </w:rPr>
      </w:pPr>
      <w:r w:rsidRPr="00D84020">
        <w:rPr>
          <w:rFonts w:ascii="Constantia" w:hAnsi="Constantia"/>
          <w:lang w:val="en"/>
        </w:rPr>
        <w:t xml:space="preserve">The results of the study show that </w:t>
      </w:r>
      <w:r w:rsidRPr="00D84020">
        <w:rPr>
          <w:rFonts w:ascii="Constantia" w:hAnsi="Constantia"/>
        </w:rPr>
        <w:t xml:space="preserve">the concept of the global citizenship education program in the Pancasila and Citizenship Education Study Program, Surabaya State University includes: (1) the background of the program, namely the need for social change that occurs in terms of the environment, economy, politics and social due to globalization. (2) The objectives of the program are to form global knowledge and understanding, hone global skills and develop students' global values and attitudes. (3) the global issues discussed are ecological </w:t>
      </w:r>
      <w:r w:rsidRPr="00D84020">
        <w:rPr>
          <w:rFonts w:ascii="Constantia" w:hAnsi="Constantia"/>
          <w:iCs/>
        </w:rPr>
        <w:t>citizenship</w:t>
      </w:r>
      <w:r w:rsidRPr="00D84020">
        <w:rPr>
          <w:rFonts w:ascii="Constantia" w:hAnsi="Constantia"/>
          <w:i/>
        </w:rPr>
        <w:t xml:space="preserve"> , economic dependence, international relations and global politics, the concept of humanity</w:t>
      </w:r>
      <w:r w:rsidRPr="00D84020">
        <w:rPr>
          <w:rFonts w:ascii="Constantia" w:hAnsi="Constantia"/>
        </w:rPr>
        <w:t xml:space="preserve">, diversity and </w:t>
      </w:r>
      <w:r w:rsidRPr="00D84020">
        <w:rPr>
          <w:rFonts w:ascii="Constantia" w:hAnsi="Constantia"/>
          <w:i/>
        </w:rPr>
        <w:t xml:space="preserve">inclusive citizenship. </w:t>
      </w:r>
      <w:r w:rsidRPr="00D84020">
        <w:rPr>
          <w:rFonts w:ascii="Constantia" w:hAnsi="Constantia"/>
        </w:rPr>
        <w:t>(4) the approach taken is to develop the vision and mission of the Study Program, continue and modify university programs, provide regulations, become role models for global citizens, hold seminars and incidental programs of the Study Program that support the formation of students' global insight and utilize learning resources and media.</w:t>
      </w:r>
    </w:p>
    <w:p w:rsidR="00D84020" w:rsidRPr="00D84020" w:rsidRDefault="00D84020" w:rsidP="00D84020">
      <w:pPr>
        <w:pStyle w:val="BodyText"/>
        <w:spacing w:after="0" w:line="276" w:lineRule="auto"/>
        <w:rPr>
          <w:rFonts w:ascii="Constantia" w:hAnsi="Constantia"/>
        </w:rPr>
      </w:pPr>
      <w:r w:rsidRPr="00D84020">
        <w:rPr>
          <w:rFonts w:ascii="Constantia" w:hAnsi="Constantia"/>
        </w:rPr>
        <w:t xml:space="preserve">The Global Citizenship Education Program has implications for the development of student activities in the Pancasila and Citizenship Education Study Program, Surabaya State University. Student activities are developed in and outside the classroom. In the classroom, the development of global insight is encouraged through critical learning, digital media literacy, the use of foreign language learning materials and </w:t>
      </w:r>
      <w:r w:rsidRPr="00D84020">
        <w:rPr>
          <w:rFonts w:ascii="Constantia" w:hAnsi="Constantia"/>
          <w:i/>
        </w:rPr>
        <w:t xml:space="preserve">online learning </w:t>
      </w:r>
      <w:r w:rsidRPr="00D84020">
        <w:rPr>
          <w:rFonts w:ascii="Constantia" w:hAnsi="Constantia"/>
        </w:rPr>
        <w:t>. Meanwhile, student activities outside the classroom are developed through various organizational and community activities (HMJ, BIMBASI, KITA). Individual student activities outside the classroom are also encouraged and developed by the Study Program such as teaching practice in bilingual classes. These various student activities have an impact, namely the formation of global understanding, honing global skills and developing students' global values.</w:t>
      </w:r>
    </w:p>
    <w:p w:rsidR="00D84020" w:rsidRPr="00D84020" w:rsidRDefault="00D84020" w:rsidP="00D84020">
      <w:pPr>
        <w:pStyle w:val="BodyText"/>
        <w:spacing w:after="0" w:line="276" w:lineRule="auto"/>
        <w:rPr>
          <w:rFonts w:ascii="Constantia" w:hAnsi="Constantia"/>
        </w:rPr>
      </w:pPr>
      <w:r w:rsidRPr="00D84020">
        <w:rPr>
          <w:rFonts w:ascii="Constantia" w:hAnsi="Constantia"/>
        </w:rPr>
        <w:t xml:space="preserve">Community service learning </w:t>
      </w:r>
      <w:r w:rsidRPr="00D84020">
        <w:rPr>
          <w:rFonts w:ascii="Constantia" w:hAnsi="Constantia"/>
          <w:i/>
        </w:rPr>
        <w:t xml:space="preserve">developed </w:t>
      </w:r>
      <w:r w:rsidRPr="00D84020">
        <w:rPr>
          <w:rFonts w:ascii="Constantia" w:hAnsi="Constantia"/>
        </w:rPr>
        <w:t xml:space="preserve">by the Study Program and HMJ can shape students' global insight because it provides direct space for students to apply their knowledge, skills and values. </w:t>
      </w:r>
      <w:proofErr w:type="spellStart"/>
      <w:r w:rsidRPr="00D84020">
        <w:rPr>
          <w:rFonts w:ascii="Constantia" w:hAnsi="Constantia"/>
        </w:rPr>
        <w:t>Gisolo</w:t>
      </w:r>
      <w:proofErr w:type="spellEnd"/>
      <w:r w:rsidRPr="00D84020">
        <w:rPr>
          <w:rFonts w:ascii="Constantia" w:hAnsi="Constantia"/>
        </w:rPr>
        <w:t xml:space="preserve"> &amp; </w:t>
      </w:r>
      <w:proofErr w:type="spellStart"/>
      <w:r w:rsidRPr="00D84020">
        <w:rPr>
          <w:rFonts w:ascii="Constantia" w:hAnsi="Constantia"/>
        </w:rPr>
        <w:t>Stanlink</w:t>
      </w:r>
      <w:proofErr w:type="spellEnd"/>
      <w:r w:rsidRPr="00D84020">
        <w:rPr>
          <w:rFonts w:ascii="Constantia" w:hAnsi="Constantia"/>
        </w:rPr>
        <w:t xml:space="preserve"> (2012) said that the experience of community service learning or what is usually adopted as a Real Work Lecture (KKN) program has proven to be an effective program to provide learning opportunities for students to be directly involved not only intellectually (learning in class) but also emotionally, improve their communication skills, and the importance of volunteerism. Environmental socialization activities and how to recycle waste in the community are forms of student activity involvement in public problems. By focusing on the active involvement of citizens, it can increase global civil responsibility, community service and make changes to the world (Jacob, 2008; Leduc, 2013).</w:t>
      </w:r>
    </w:p>
    <w:p w:rsidR="00D84020" w:rsidRPr="00D84020" w:rsidRDefault="00D84020" w:rsidP="00D84020">
      <w:pPr>
        <w:pStyle w:val="BodyText"/>
        <w:spacing w:after="0" w:line="276" w:lineRule="auto"/>
        <w:ind w:firstLine="720"/>
        <w:rPr>
          <w:rFonts w:ascii="Constantia" w:hAnsi="Constantia"/>
        </w:rPr>
      </w:pPr>
      <w:r w:rsidRPr="00D84020">
        <w:rPr>
          <w:rFonts w:ascii="Constantia" w:hAnsi="Constantia"/>
        </w:rPr>
        <w:t xml:space="preserve">Citizen involvement can be done by encouraging students to take part or participate in social movements related to world peace and environmental issues (Catalano, 2013) such as those that occurred in Indonesia, namely </w:t>
      </w:r>
      <w:r w:rsidRPr="00D84020">
        <w:rPr>
          <w:rFonts w:ascii="Constantia" w:hAnsi="Constantia"/>
          <w:i/>
        </w:rPr>
        <w:t xml:space="preserve">Save Palestine </w:t>
      </w:r>
      <w:r w:rsidRPr="00D84020">
        <w:rPr>
          <w:rFonts w:ascii="Constantia" w:hAnsi="Constantia"/>
        </w:rPr>
        <w:t xml:space="preserve">and </w:t>
      </w:r>
      <w:r w:rsidRPr="00D84020">
        <w:rPr>
          <w:rFonts w:ascii="Constantia" w:hAnsi="Constantia"/>
          <w:i/>
        </w:rPr>
        <w:t xml:space="preserve">Save World </w:t>
      </w:r>
      <w:r w:rsidRPr="00D84020">
        <w:rPr>
          <w:rFonts w:ascii="Constantia" w:hAnsi="Constantia"/>
        </w:rPr>
        <w:t xml:space="preserve">. Pancasila and Citizenship Education students in HMJ activities held an earthquake care action and collected funds to fundraising for Rohingya. Another activity, namely the action of not being afraid of terrorism as a form of solidarity for the brutal shooting at the New Zealand mosque, was also carried out. Becoming a participatory citizen in taking a stance on global issues ( </w:t>
      </w:r>
      <w:r w:rsidRPr="00D84020">
        <w:rPr>
          <w:rFonts w:ascii="Constantia" w:hAnsi="Constantia"/>
          <w:lang w:val="en"/>
        </w:rPr>
        <w:t xml:space="preserve">Dobson, 2003; Westheimer &amp; Kahne, 2004 </w:t>
      </w:r>
      <w:r w:rsidRPr="00D84020">
        <w:rPr>
          <w:rFonts w:ascii="Constantia" w:hAnsi="Constantia"/>
        </w:rPr>
        <w:t xml:space="preserve">), and having responsibility for the relationship between themselves and the world ( </w:t>
      </w:r>
      <w:r w:rsidRPr="00D84020">
        <w:rPr>
          <w:rFonts w:ascii="Constantia" w:hAnsi="Constantia"/>
          <w:lang w:val="en"/>
        </w:rPr>
        <w:t xml:space="preserve">Carens, 2000; </w:t>
      </w:r>
      <w:proofErr w:type="spellStart"/>
      <w:r w:rsidRPr="00D84020">
        <w:rPr>
          <w:rFonts w:ascii="Constantia" w:hAnsi="Constantia"/>
          <w:lang w:val="en"/>
        </w:rPr>
        <w:t>Langran</w:t>
      </w:r>
      <w:proofErr w:type="spellEnd"/>
      <w:r w:rsidRPr="00D84020">
        <w:rPr>
          <w:rFonts w:ascii="Constantia" w:hAnsi="Constantia"/>
          <w:lang w:val="en"/>
        </w:rPr>
        <w:t xml:space="preserve">, </w:t>
      </w:r>
      <w:proofErr w:type="spellStart"/>
      <w:r w:rsidRPr="00D84020">
        <w:rPr>
          <w:rFonts w:ascii="Constantia" w:hAnsi="Constantia"/>
          <w:lang w:val="en"/>
        </w:rPr>
        <w:t>Langran</w:t>
      </w:r>
      <w:proofErr w:type="spellEnd"/>
      <w:r w:rsidRPr="00D84020">
        <w:rPr>
          <w:rFonts w:ascii="Constantia" w:hAnsi="Constantia"/>
          <w:lang w:val="en"/>
        </w:rPr>
        <w:t xml:space="preserve">, &amp; Ozment, 2009 </w:t>
      </w:r>
      <w:r w:rsidRPr="00D84020">
        <w:rPr>
          <w:rFonts w:ascii="Constantia" w:hAnsi="Constantia"/>
        </w:rPr>
        <w:t xml:space="preserve">) is one of the dimensions of global citizens in the dimension of citizen involvement </w:t>
      </w:r>
      <w:r w:rsidRPr="00D84020">
        <w:rPr>
          <w:rFonts w:ascii="Constantia" w:hAnsi="Constantia"/>
          <w:lang w:val="en"/>
        </w:rPr>
        <w:t xml:space="preserve">in addition to having social responsibility and global competence (Morais &amp; Ogden, 2010) </w:t>
      </w:r>
      <w:r w:rsidRPr="00D84020">
        <w:rPr>
          <w:rFonts w:ascii="Constantia" w:hAnsi="Constantia"/>
        </w:rPr>
        <w:t>.</w:t>
      </w:r>
    </w:p>
    <w:p w:rsidR="00D84020" w:rsidRPr="00D84020" w:rsidRDefault="00D84020" w:rsidP="00D84020">
      <w:pPr>
        <w:pStyle w:val="BodyText"/>
        <w:spacing w:after="0" w:line="276" w:lineRule="auto"/>
        <w:ind w:firstLine="720"/>
        <w:rPr>
          <w:rFonts w:ascii="Constantia" w:hAnsi="Constantia"/>
        </w:rPr>
      </w:pPr>
      <w:r w:rsidRPr="00D84020">
        <w:rPr>
          <w:rFonts w:ascii="Constantia" w:hAnsi="Constantia"/>
        </w:rPr>
        <w:t xml:space="preserve">The Global Citizenship Education Program has implications for the development of the learning environment for students of the Pancasila and Citizenship Education Study Program. Development of the physical environment such as the development of internet connections, the Study Program library, </w:t>
      </w:r>
      <w:r w:rsidRPr="00D84020">
        <w:rPr>
          <w:rFonts w:ascii="Constantia" w:hAnsi="Constantia"/>
          <w:i/>
        </w:rPr>
        <w:t xml:space="preserve">microteaching rooms </w:t>
      </w:r>
      <w:r w:rsidRPr="00D84020">
        <w:rPr>
          <w:rFonts w:ascii="Constantia" w:hAnsi="Constantia"/>
        </w:rPr>
        <w:t xml:space="preserve">and democracy rooms, the Non-Academic Assessment System, comfortable, green and inclusive learning spaces, as well as clean Study Program fields and gazebos on the Study Program field. In addition, lecturers also provide guidance, direction and encouragement to students to participate in student activities outside the classroom to hone their </w:t>
      </w:r>
      <w:r w:rsidRPr="00D84020">
        <w:rPr>
          <w:rFonts w:ascii="Constantia" w:hAnsi="Constantia"/>
          <w:i/>
        </w:rPr>
        <w:t xml:space="preserve">soft skills </w:t>
      </w:r>
      <w:r w:rsidRPr="00D84020">
        <w:rPr>
          <w:rFonts w:ascii="Constantia" w:hAnsi="Constantia"/>
        </w:rPr>
        <w:t>. These various student activities have an impact, namely the formation of global understanding, honing global skills and developing students' global values.</w:t>
      </w:r>
    </w:p>
    <w:p w:rsidR="00D84020" w:rsidRPr="00D84020" w:rsidRDefault="00D84020" w:rsidP="00D84020">
      <w:pPr>
        <w:pStyle w:val="BodyText"/>
        <w:spacing w:after="0" w:line="276" w:lineRule="auto"/>
        <w:ind w:firstLine="720"/>
        <w:rPr>
          <w:rFonts w:ascii="Constantia" w:hAnsi="Constantia"/>
        </w:rPr>
      </w:pPr>
      <w:r w:rsidRPr="00D84020">
        <w:rPr>
          <w:rFonts w:ascii="Constantia" w:hAnsi="Constantia"/>
        </w:rPr>
        <w:t>In classroom learning, Global Citizenship Education in the Pancasila and Citizenship Education Study Program uses teaching practices that emphasize the principles of: maintaining a polite, inclusive, and interactive classroom and school ethos (</w:t>
      </w:r>
      <w:proofErr w:type="spellStart"/>
      <w:r w:rsidRPr="00D84020">
        <w:rPr>
          <w:rFonts w:ascii="Constantia" w:hAnsi="Constantia"/>
        </w:rPr>
        <w:t>eg</w:t>
      </w:r>
      <w:proofErr w:type="spellEnd"/>
      <w:r w:rsidRPr="00D84020">
        <w:rPr>
          <w:rFonts w:ascii="Constantia" w:hAnsi="Constantia"/>
        </w:rPr>
        <w:t xml:space="preserve"> gender equality, inclusion, shared understanding of classroom norms, learners, voice, seating arrangements, use of space), instilling learner-centered independence and culturally responsive and interactive teaching and learning approaches that are aligned with learning objectives (</w:t>
      </w:r>
      <w:proofErr w:type="spellStart"/>
      <w:r w:rsidRPr="00D84020">
        <w:rPr>
          <w:rFonts w:ascii="Constantia" w:hAnsi="Constantia"/>
        </w:rPr>
        <w:t>eg</w:t>
      </w:r>
      <w:proofErr w:type="spellEnd"/>
      <w:r w:rsidRPr="00D84020">
        <w:rPr>
          <w:rFonts w:ascii="Constantia" w:hAnsi="Constantia"/>
        </w:rPr>
        <w:t xml:space="preserve"> independent and collaborative learning, media literacy), Offering opportunities for participants to experience learning in a variety of contexts including classrooms, activities and the school community as a whole, from local to global (</w:t>
      </w:r>
      <w:proofErr w:type="spellStart"/>
      <w:r w:rsidRPr="00D84020">
        <w:rPr>
          <w:rFonts w:ascii="Constantia" w:hAnsi="Constantia"/>
        </w:rPr>
        <w:t>eg</w:t>
      </w:r>
      <w:proofErr w:type="spellEnd"/>
      <w:r w:rsidRPr="00D84020">
        <w:rPr>
          <w:rFonts w:ascii="Constantia" w:hAnsi="Constantia"/>
        </w:rPr>
        <w:t xml:space="preserve"> community participation, international electronic exchange, virtual communities), Emphasizing teachers / educators as role models (</w:t>
      </w:r>
      <w:proofErr w:type="spellStart"/>
      <w:r w:rsidRPr="00D84020">
        <w:rPr>
          <w:rFonts w:ascii="Constantia" w:hAnsi="Constantia"/>
        </w:rPr>
        <w:t>eg</w:t>
      </w:r>
      <w:proofErr w:type="spellEnd"/>
      <w:r w:rsidRPr="00D84020">
        <w:rPr>
          <w:rFonts w:ascii="Constantia" w:hAnsi="Constantia"/>
        </w:rPr>
        <w:t>, to date events, community involvement, practicing environmental and equity standards), Using learners and their families as teaching and learning resources, especially in multicultural environments. (UNESCO, 2015).</w:t>
      </w:r>
    </w:p>
    <w:p w:rsidR="00D84020" w:rsidRPr="00D84020" w:rsidRDefault="00D84020" w:rsidP="00D84020">
      <w:pPr>
        <w:pStyle w:val="BodyText"/>
        <w:spacing w:after="0" w:line="276" w:lineRule="auto"/>
        <w:rPr>
          <w:rFonts w:ascii="Constantia" w:hAnsi="Constantia"/>
          <w:lang w:val="en"/>
        </w:rPr>
      </w:pPr>
      <w:r w:rsidRPr="00D84020">
        <w:rPr>
          <w:rFonts w:ascii="Constantia" w:hAnsi="Constantia"/>
          <w:lang w:val="en"/>
        </w:rPr>
        <w:t>On domain knowledge global citizenship, students can learn about problems of government systems and structures local and students understand the interdependence and global connections of critical learning about global issues. discussed in class and in the community. Students can use how they see and understand the world and its relationship to themselves and how students can see social justice. and equality, the reality of diversity with others. Students can understand what social justice and equality are, how diversity exists, about the concept of globalization and the reality that our country is interdependent with other countries, the concept of sustainable development.  And  How  draft  about world conflict and peace. Increasing the domain of student knowledge can be formed through various student activities developed by universities in the classroom in the form of critical and participatory learning. And activity outside the classroom such as community discussions, community service learning (KKN), internships at home and abroad, and student involvement in local to global issues have an impact on the formation of students' global insight.</w:t>
      </w:r>
    </w:p>
    <w:p w:rsidR="00D84020" w:rsidRPr="00D84020" w:rsidRDefault="00D84020" w:rsidP="00D84020">
      <w:pPr>
        <w:pStyle w:val="BodyText"/>
        <w:spacing w:after="0" w:line="276" w:lineRule="auto"/>
        <w:rPr>
          <w:rFonts w:ascii="Constantia" w:hAnsi="Constantia"/>
          <w:lang w:val="en"/>
        </w:rPr>
      </w:pPr>
      <w:r w:rsidRPr="00D84020">
        <w:rPr>
          <w:rFonts w:ascii="Constantia" w:hAnsi="Constantia"/>
          <w:lang w:val="en"/>
        </w:rPr>
        <w:t xml:space="preserve">In the global skills domain global citizens demonstrate personal and social responsibility for a peaceful and sustainable world and develop motivation </w:t>
      </w:r>
      <w:proofErr w:type="gramStart"/>
      <w:r w:rsidRPr="00D84020">
        <w:rPr>
          <w:rFonts w:ascii="Constantia" w:hAnsi="Constantia"/>
          <w:lang w:val="en"/>
        </w:rPr>
        <w:t>And</w:t>
      </w:r>
      <w:proofErr w:type="gramEnd"/>
      <w:r w:rsidRPr="00D84020">
        <w:rPr>
          <w:rFonts w:ascii="Constantia" w:hAnsi="Constantia"/>
          <w:lang w:val="en"/>
        </w:rPr>
        <w:t xml:space="preserve"> willingness to care for goodness together (UNESCO, 2015), can develop critical thinking skills, the ability to debate effectively, respect people and ways of thinking, the ability to work together and resolve conflicts (Oxfam, 2014). Student activities in and outside class which has been developed has formed students' global skills, such as critical discussion activities on global issues discussed in class and </w:t>
      </w:r>
      <w:proofErr w:type="gramStart"/>
      <w:r w:rsidRPr="00D84020">
        <w:rPr>
          <w:rFonts w:ascii="Constantia" w:hAnsi="Constantia"/>
          <w:lang w:val="en"/>
        </w:rPr>
        <w:t>The</w:t>
      </w:r>
      <w:proofErr w:type="gramEnd"/>
      <w:r w:rsidRPr="00D84020">
        <w:rPr>
          <w:rFonts w:ascii="Constantia" w:hAnsi="Constantia"/>
          <w:lang w:val="en"/>
        </w:rPr>
        <w:t xml:space="preserve"> community can develop critical thinking skills, the ability to debate effectively, and appreciate differences and other people's ways of thinking. This activity can hone students' global competence where global competence is interpreted as the ability to have an open mind. And  in a way  effective  try  </w:t>
      </w:r>
      <w:proofErr w:type="gramStart"/>
      <w:r w:rsidRPr="00D84020">
        <w:rPr>
          <w:rFonts w:ascii="Constantia" w:hAnsi="Constantia"/>
          <w:lang w:val="en"/>
        </w:rPr>
        <w:t>understand</w:t>
      </w:r>
      <w:proofErr w:type="gramEnd"/>
      <w:r w:rsidRPr="00D84020">
        <w:rPr>
          <w:rFonts w:ascii="Constantia" w:hAnsi="Constantia"/>
          <w:lang w:val="en"/>
        </w:rPr>
        <w:t xml:space="preserve"> cultural norms of others and use the knowledge they have to interact, communicate and work together.</w:t>
      </w:r>
    </w:p>
    <w:p w:rsidR="00D84020" w:rsidRPr="00D84020" w:rsidRDefault="00D84020" w:rsidP="00D84020">
      <w:pPr>
        <w:pStyle w:val="BodyText"/>
        <w:spacing w:after="0" w:line="276" w:lineRule="auto"/>
        <w:rPr>
          <w:rFonts w:ascii="Constantia" w:hAnsi="Constantia"/>
          <w:lang w:val="en"/>
        </w:rPr>
      </w:pPr>
      <w:r w:rsidRPr="00D84020">
        <w:rPr>
          <w:rFonts w:ascii="Constantia" w:hAnsi="Constantia"/>
          <w:lang w:val="en"/>
        </w:rPr>
        <w:t xml:space="preserve">In student involvement actions on global issues such as Action care earthquake </w:t>
      </w:r>
      <w:proofErr w:type="gramStart"/>
      <w:r w:rsidRPr="00D84020">
        <w:rPr>
          <w:rFonts w:ascii="Constantia" w:hAnsi="Constantia"/>
          <w:lang w:val="en"/>
        </w:rPr>
        <w:t>And</w:t>
      </w:r>
      <w:proofErr w:type="gramEnd"/>
      <w:r w:rsidRPr="00D84020">
        <w:rPr>
          <w:rFonts w:ascii="Constantia" w:hAnsi="Constantia"/>
          <w:lang w:val="en"/>
        </w:rPr>
        <w:t xml:space="preserve"> raising funds to fundraising for Rohingya and action No Afraid terrorism as the form of solidarity for the brutal shooting at the New Zealand mosque carried out by students has encouraged students to hone global skills by developing empathy, ethics, values and feeling social responsibility; and promoting local and global social justice. Through citizen engagement, individuals as citizens can be empowered as agents of social change for a more democratic world (Jacoby, 2009, p. 9). </w:t>
      </w:r>
    </w:p>
    <w:p w:rsidR="00D84020" w:rsidRPr="00D84020" w:rsidRDefault="00D84020" w:rsidP="00D84020">
      <w:pPr>
        <w:pStyle w:val="BodyText"/>
        <w:spacing w:after="0" w:line="276" w:lineRule="auto"/>
        <w:rPr>
          <w:rFonts w:ascii="Constantia" w:hAnsi="Constantia"/>
          <w:lang w:val="en"/>
        </w:rPr>
      </w:pPr>
      <w:r w:rsidRPr="00D84020">
        <w:rPr>
          <w:rFonts w:ascii="Constantia" w:hAnsi="Constantia"/>
          <w:lang w:val="en"/>
        </w:rPr>
        <w:t xml:space="preserve">In the domain of global citizenship attitudes of citizens Globally develop attitudes to appreciate and respect differences </w:t>
      </w:r>
      <w:proofErr w:type="gramStart"/>
      <w:r w:rsidRPr="00D84020">
        <w:rPr>
          <w:rFonts w:ascii="Constantia" w:hAnsi="Constantia"/>
          <w:lang w:val="en"/>
        </w:rPr>
        <w:t>And</w:t>
      </w:r>
      <w:proofErr w:type="gramEnd"/>
      <w:r w:rsidRPr="00D84020">
        <w:rPr>
          <w:rFonts w:ascii="Constantia" w:hAnsi="Constantia"/>
          <w:lang w:val="en"/>
        </w:rPr>
        <w:t xml:space="preserve"> diversity, a sense of belonging and students can share values and responsibilities based on human rights (UNESCO, 2015). Activities such as peace visits, interfaith studies, Transgender breaking fast programs, nature libraries and planting of tree seedlings and peaceful actions have provided students with learning to develop attitudes of mutual respect and appreciation for differences, develop empathy, demonstrate commitment to social justice and respect for diversity and care for the environment and commitment to sustainable development (Oxfam, 2014)</w:t>
      </w:r>
    </w:p>
    <w:p w:rsidR="00D84020" w:rsidRPr="00D84020" w:rsidRDefault="00D84020" w:rsidP="00D84020">
      <w:pPr>
        <w:pStyle w:val="BodyText"/>
        <w:spacing w:line="276" w:lineRule="auto"/>
        <w:rPr>
          <w:rFonts w:ascii="Constantia" w:hAnsi="Constantia"/>
          <w:lang w:val="en"/>
        </w:rPr>
      </w:pPr>
      <w:r w:rsidRPr="00D84020">
        <w:rPr>
          <w:rFonts w:ascii="Constantia" w:hAnsi="Constantia"/>
          <w:lang w:val="en"/>
        </w:rPr>
        <w:t xml:space="preserve">The various student activities have an impact, namely the formation of global understanding, honing global skills and developing students' global values. Understanding of global citizenship education in lecturers have implications on development of student learning curriculum. The learning curriculum includes learning objectives, learning materials, learning methods and follow-up plans that will be carried out as an effort to develop a </w:t>
      </w:r>
      <w:r w:rsidRPr="00D84020">
        <w:rPr>
          <w:rFonts w:ascii="Constantia" w:hAnsi="Constantia"/>
          <w:lang w:val="en"/>
        </w:rPr>
        <w:tab/>
        <w:t xml:space="preserve">new curriculum. </w:t>
      </w:r>
      <w:r w:rsidRPr="00D84020">
        <w:rPr>
          <w:rFonts w:ascii="Constantia" w:hAnsi="Constantia"/>
          <w:lang w:val="en"/>
        </w:rPr>
        <w:tab/>
        <w:t>All development of the learning curriculum has an impact on the formation of students' global knowledge and understanding, students' global skills and the development of students' global values.</w:t>
      </w:r>
    </w:p>
    <w:p w:rsidR="00D84020" w:rsidRPr="00D84020" w:rsidRDefault="00D84020" w:rsidP="00D84020">
      <w:pPr>
        <w:pStyle w:val="BodyText"/>
        <w:spacing w:before="240" w:after="0" w:line="276" w:lineRule="auto"/>
        <w:ind w:firstLine="0"/>
        <w:rPr>
          <w:rFonts w:ascii="Constantia" w:hAnsi="Constantia"/>
          <w:b/>
          <w:bCs/>
          <w:lang w:val="en"/>
        </w:rPr>
      </w:pPr>
      <w:r w:rsidRPr="00D84020">
        <w:rPr>
          <w:rFonts w:ascii="Constantia" w:hAnsi="Constantia"/>
          <w:b/>
          <w:bCs/>
          <w:lang w:val="en"/>
        </w:rPr>
        <w:t>Conclusion</w:t>
      </w:r>
    </w:p>
    <w:p w:rsidR="00D84020" w:rsidRPr="00D84020" w:rsidRDefault="00D84020" w:rsidP="00D84020">
      <w:pPr>
        <w:pStyle w:val="BodyText"/>
        <w:spacing w:after="0" w:line="276" w:lineRule="auto"/>
        <w:ind w:firstLine="720"/>
        <w:rPr>
          <w:rFonts w:ascii="Constantia" w:hAnsi="Constantia"/>
        </w:rPr>
      </w:pPr>
      <w:r w:rsidRPr="00D84020">
        <w:rPr>
          <w:rFonts w:ascii="Constantia" w:hAnsi="Constantia"/>
        </w:rPr>
        <w:t xml:space="preserve">The concept of the global citizenship education program in the Pancasila and Citizenship Education Study Program, Surabaya State University includes: (1) the background of the program, namely the need for social change that occurs in terms of the environment, economy, politics and society due to globalization. (2) The objectives of the program are to form global knowledge and understanding, hone global skills and develop students' global values and attitudes. (3) the global issues discussed are </w:t>
      </w:r>
      <w:r w:rsidRPr="00D84020">
        <w:rPr>
          <w:rFonts w:ascii="Constantia" w:hAnsi="Constantia"/>
          <w:i/>
        </w:rPr>
        <w:t xml:space="preserve">ecological citizenship </w:t>
      </w:r>
      <w:r w:rsidRPr="00D84020">
        <w:rPr>
          <w:rFonts w:ascii="Constantia" w:hAnsi="Constantia"/>
        </w:rPr>
        <w:t xml:space="preserve">, economic dependence, international relations and global politics, the concept of </w:t>
      </w:r>
      <w:r w:rsidRPr="00D84020">
        <w:rPr>
          <w:rFonts w:ascii="Constantia" w:hAnsi="Constantia"/>
          <w:i/>
        </w:rPr>
        <w:t xml:space="preserve">humanity </w:t>
      </w:r>
      <w:r w:rsidRPr="00D84020">
        <w:rPr>
          <w:rFonts w:ascii="Constantia" w:hAnsi="Constantia"/>
        </w:rPr>
        <w:t xml:space="preserve">, diversity and </w:t>
      </w:r>
      <w:r w:rsidRPr="00D84020">
        <w:rPr>
          <w:rFonts w:ascii="Constantia" w:hAnsi="Constantia"/>
          <w:i/>
        </w:rPr>
        <w:t xml:space="preserve">inclusive citizenship. </w:t>
      </w:r>
      <w:r w:rsidRPr="00D84020">
        <w:rPr>
          <w:rFonts w:ascii="Constantia" w:hAnsi="Constantia"/>
        </w:rPr>
        <w:t>(4) the approach taken is to develop the vision and mission of the Study Program, continue and modify university programs, provide regulations, become role models for global citizens, hold seminars and incidental programs of the Study Program that support the formation of students' global insight and utilize learning resources and media.</w:t>
      </w:r>
    </w:p>
    <w:p w:rsidR="00D84020" w:rsidRPr="00D84020" w:rsidRDefault="00D84020" w:rsidP="00D84020">
      <w:pPr>
        <w:pStyle w:val="BodyText"/>
        <w:spacing w:after="0" w:line="276" w:lineRule="auto"/>
        <w:ind w:firstLine="720"/>
        <w:rPr>
          <w:rFonts w:ascii="Constantia" w:hAnsi="Constantia"/>
        </w:rPr>
      </w:pPr>
      <w:r w:rsidRPr="00D84020">
        <w:rPr>
          <w:rFonts w:ascii="Constantia" w:hAnsi="Constantia"/>
        </w:rPr>
        <w:t xml:space="preserve">The Global Citizenship Education Program has implications for the development of student activities in the Pancasila and Citizenship Education Study Program, Surabaya State University. Student activities are developed in class and outside the classroom. In class, the development of global insight is encouraged through critical learning, digital media literacy, the use of foreign language learning materials and </w:t>
      </w:r>
      <w:r w:rsidRPr="00D84020">
        <w:rPr>
          <w:rFonts w:ascii="Constantia" w:hAnsi="Constantia"/>
          <w:i/>
        </w:rPr>
        <w:t xml:space="preserve">online learning </w:t>
      </w:r>
      <w:r w:rsidRPr="00D84020">
        <w:rPr>
          <w:rFonts w:ascii="Constantia" w:hAnsi="Constantia"/>
        </w:rPr>
        <w:t>. Meanwhile, student activities outside the classroom are developed through various organizational and community activities (HMJ, BIMBASI, KITA). Individual student activities outside the classroom are also encouraged and developed by the Study Program such as teaching practice abroad. These various student activities have an impact, namely the formation of global understanding, honing global skills and developing students' global values.</w:t>
      </w:r>
    </w:p>
    <w:p w:rsidR="00D84020" w:rsidRPr="00D84020" w:rsidRDefault="00D84020" w:rsidP="00D84020">
      <w:pPr>
        <w:pStyle w:val="BodyText"/>
        <w:spacing w:line="276" w:lineRule="auto"/>
        <w:ind w:firstLine="720"/>
        <w:rPr>
          <w:rFonts w:ascii="Constantia" w:hAnsi="Constantia"/>
        </w:rPr>
      </w:pPr>
      <w:r w:rsidRPr="00D84020">
        <w:rPr>
          <w:rFonts w:ascii="Constantia" w:hAnsi="Constantia"/>
        </w:rPr>
        <w:t xml:space="preserve">The Global Citizenship Education Program has implications for the development of the learning environment for students of the Pancasila and Citizenship Education Study Program. Development of the physical environment such as the development of internet connections, the Study Program library, </w:t>
      </w:r>
      <w:r w:rsidRPr="00D84020">
        <w:rPr>
          <w:rFonts w:ascii="Constantia" w:hAnsi="Constantia"/>
          <w:i/>
        </w:rPr>
        <w:t xml:space="preserve">microteaching rooms </w:t>
      </w:r>
      <w:r w:rsidRPr="00D84020">
        <w:rPr>
          <w:rFonts w:ascii="Constantia" w:hAnsi="Constantia"/>
        </w:rPr>
        <w:t xml:space="preserve">and democracy rooms, the Non-Academic Assessment System, comfortable, green and inclusive learning spaces, as well as clean Study Program fields and gazebos on the Study Program field. In addition, lecturers also provide guidance, direction and encouragement to students to participate in student activities outside the classroom to hone their </w:t>
      </w:r>
      <w:r w:rsidRPr="00D84020">
        <w:rPr>
          <w:rFonts w:ascii="Constantia" w:hAnsi="Constantia"/>
          <w:i/>
        </w:rPr>
        <w:t xml:space="preserve">soft skills </w:t>
      </w:r>
      <w:r w:rsidRPr="00D84020">
        <w:rPr>
          <w:rFonts w:ascii="Constantia" w:hAnsi="Constantia"/>
        </w:rPr>
        <w:t>. These various student activities have an impact, namely the formation of global understanding, honing global skills and developing students' global values.</w:t>
      </w:r>
    </w:p>
    <w:p w:rsidR="00D84020" w:rsidRPr="00D84020" w:rsidRDefault="00D84020" w:rsidP="00D84020">
      <w:pPr>
        <w:pStyle w:val="BodyText"/>
        <w:spacing w:before="240" w:after="0" w:line="276" w:lineRule="auto"/>
        <w:ind w:firstLine="0"/>
        <w:rPr>
          <w:rFonts w:ascii="Constantia" w:hAnsi="Constantia"/>
          <w:b/>
          <w:bCs/>
          <w:lang w:val="en"/>
        </w:rPr>
      </w:pPr>
      <w:r>
        <w:rPr>
          <w:rFonts w:ascii="Constantia" w:hAnsi="Constantia"/>
          <w:b/>
          <w:bCs/>
          <w:lang w:val="en"/>
        </w:rPr>
        <w:t>Reference</w:t>
      </w:r>
    </w:p>
    <w:p w:rsidR="00D84020" w:rsidRPr="00D84020" w:rsidRDefault="00D84020" w:rsidP="00D84020">
      <w:pPr>
        <w:pStyle w:val="BodyText"/>
        <w:spacing w:after="0" w:line="276" w:lineRule="auto"/>
        <w:ind w:left="720" w:hanging="720"/>
        <w:rPr>
          <w:rFonts w:ascii="Constantia" w:hAnsi="Constantia"/>
          <w:lang w:val="en"/>
        </w:rPr>
      </w:pPr>
      <w:r w:rsidRPr="00D84020">
        <w:rPr>
          <w:rFonts w:ascii="Constantia" w:hAnsi="Constantia"/>
          <w:lang w:val="en"/>
        </w:rPr>
        <w:t xml:space="preserve">Anker, C. (2010). Transnationalism and Cosmopolitanism : toward Global </w:t>
      </w:r>
      <w:proofErr w:type="gramStart"/>
      <w:r w:rsidRPr="00D84020">
        <w:rPr>
          <w:rFonts w:ascii="Constantia" w:hAnsi="Constantia"/>
          <w:lang w:val="en"/>
        </w:rPr>
        <w:t>Citizenship?.</w:t>
      </w:r>
      <w:proofErr w:type="gramEnd"/>
      <w:r w:rsidRPr="00D84020">
        <w:rPr>
          <w:rFonts w:ascii="Constantia" w:hAnsi="Constantia"/>
          <w:lang w:val="en"/>
        </w:rPr>
        <w:t xml:space="preserve"> </w:t>
      </w:r>
      <w:r w:rsidRPr="00D84020">
        <w:rPr>
          <w:rFonts w:ascii="Constantia" w:hAnsi="Constantia"/>
          <w:i/>
          <w:lang w:val="en"/>
        </w:rPr>
        <w:t xml:space="preserve">Journal of International </w:t>
      </w:r>
      <w:proofErr w:type="spellStart"/>
      <w:r w:rsidRPr="00D84020">
        <w:rPr>
          <w:rFonts w:ascii="Constantia" w:hAnsi="Constantia"/>
          <w:i/>
          <w:lang w:val="en"/>
        </w:rPr>
        <w:t>Politichal</w:t>
      </w:r>
      <w:proofErr w:type="spellEnd"/>
      <w:r w:rsidRPr="00D84020">
        <w:rPr>
          <w:rFonts w:ascii="Constantia" w:hAnsi="Constantia"/>
          <w:i/>
          <w:lang w:val="en"/>
        </w:rPr>
        <w:t xml:space="preserve"> Theory</w:t>
      </w:r>
      <w:r w:rsidRPr="00D84020">
        <w:rPr>
          <w:rFonts w:ascii="Constantia" w:hAnsi="Constantia"/>
          <w:lang w:val="en"/>
        </w:rPr>
        <w:t xml:space="preserve">. 6 (1), </w:t>
      </w:r>
      <w:proofErr w:type="spellStart"/>
      <w:r w:rsidRPr="00D84020">
        <w:rPr>
          <w:rFonts w:ascii="Constantia" w:hAnsi="Constantia"/>
          <w:lang w:val="en"/>
        </w:rPr>
        <w:t>hlm</w:t>
      </w:r>
      <w:proofErr w:type="spellEnd"/>
      <w:r w:rsidRPr="00D84020">
        <w:rPr>
          <w:rFonts w:ascii="Constantia" w:hAnsi="Constantia"/>
          <w:lang w:val="en"/>
        </w:rPr>
        <w:t>. 73-94</w:t>
      </w:r>
    </w:p>
    <w:p w:rsidR="00D84020" w:rsidRPr="00D84020" w:rsidRDefault="00D84020" w:rsidP="00D84020">
      <w:pPr>
        <w:pStyle w:val="BodyText"/>
        <w:spacing w:after="0" w:line="276" w:lineRule="auto"/>
        <w:ind w:left="720" w:hanging="720"/>
        <w:rPr>
          <w:rFonts w:ascii="Constantia" w:hAnsi="Constantia"/>
          <w:lang w:val="en"/>
        </w:rPr>
      </w:pPr>
      <w:r w:rsidRPr="00D84020">
        <w:rPr>
          <w:rFonts w:ascii="Constantia" w:hAnsi="Constantia"/>
          <w:lang w:val="en"/>
        </w:rPr>
        <w:t xml:space="preserve">Carens, J. (2000). </w:t>
      </w:r>
      <w:r w:rsidRPr="00D84020">
        <w:rPr>
          <w:rFonts w:ascii="Constantia" w:hAnsi="Constantia"/>
          <w:i/>
          <w:lang w:val="en"/>
        </w:rPr>
        <w:t>Culture, citizenship, and community: A conceptual exploration of justice as evenhandedness</w:t>
      </w:r>
      <w:r w:rsidRPr="00D84020">
        <w:rPr>
          <w:rFonts w:ascii="Constantia" w:hAnsi="Constantia"/>
          <w:lang w:val="en"/>
        </w:rPr>
        <w:t>. Oxford, UK: Oxford University Press</w:t>
      </w:r>
    </w:p>
    <w:p w:rsidR="00D84020" w:rsidRPr="00D84020" w:rsidRDefault="00D84020" w:rsidP="00D84020">
      <w:pPr>
        <w:pStyle w:val="BodyText"/>
        <w:spacing w:after="0" w:line="276" w:lineRule="auto"/>
        <w:ind w:left="720" w:hanging="720"/>
        <w:rPr>
          <w:rFonts w:ascii="Constantia" w:hAnsi="Constantia"/>
          <w:lang w:val="en"/>
        </w:rPr>
      </w:pPr>
      <w:r w:rsidRPr="00D84020">
        <w:rPr>
          <w:rFonts w:ascii="Constantia" w:hAnsi="Constantia"/>
          <w:lang w:val="en"/>
        </w:rPr>
        <w:t xml:space="preserve">Cogan, J. &amp; </w:t>
      </w:r>
      <w:proofErr w:type="spellStart"/>
      <w:r w:rsidRPr="00D84020">
        <w:rPr>
          <w:rFonts w:ascii="Constantia" w:hAnsi="Constantia"/>
          <w:lang w:val="en"/>
        </w:rPr>
        <w:t>Derricot</w:t>
      </w:r>
      <w:proofErr w:type="spellEnd"/>
      <w:r w:rsidRPr="00D84020">
        <w:rPr>
          <w:rFonts w:ascii="Constantia" w:hAnsi="Constantia"/>
          <w:lang w:val="en"/>
        </w:rPr>
        <w:t xml:space="preserve">, R. (1998) </w:t>
      </w:r>
      <w:r w:rsidRPr="00D84020">
        <w:rPr>
          <w:rFonts w:ascii="Constantia" w:hAnsi="Constantia"/>
          <w:i/>
          <w:lang w:val="en"/>
        </w:rPr>
        <w:t xml:space="preserve">Citizenship for </w:t>
      </w:r>
      <w:proofErr w:type="gramStart"/>
      <w:r w:rsidRPr="00D84020">
        <w:rPr>
          <w:rFonts w:ascii="Constantia" w:hAnsi="Constantia"/>
          <w:i/>
          <w:lang w:val="en"/>
        </w:rPr>
        <w:t>The</w:t>
      </w:r>
      <w:proofErr w:type="gramEnd"/>
      <w:r w:rsidRPr="00D84020">
        <w:rPr>
          <w:rFonts w:ascii="Constantia" w:hAnsi="Constantia"/>
          <w:i/>
          <w:lang w:val="en"/>
        </w:rPr>
        <w:t xml:space="preserve"> 21th Century, An International Perspective on Education</w:t>
      </w:r>
      <w:r w:rsidRPr="00D84020">
        <w:rPr>
          <w:rFonts w:ascii="Constantia" w:hAnsi="Constantia"/>
          <w:lang w:val="en"/>
        </w:rPr>
        <w:t>. London : The Copyright Licensing Agency</w:t>
      </w:r>
    </w:p>
    <w:p w:rsidR="00D84020" w:rsidRPr="00D84020" w:rsidRDefault="00D84020" w:rsidP="00D84020">
      <w:pPr>
        <w:pStyle w:val="BodyText"/>
        <w:spacing w:after="0" w:line="276" w:lineRule="auto"/>
        <w:ind w:left="720" w:hanging="720"/>
        <w:rPr>
          <w:rFonts w:ascii="Constantia" w:hAnsi="Constantia"/>
          <w:lang w:val="en"/>
        </w:rPr>
      </w:pPr>
      <w:r w:rsidRPr="00D84020">
        <w:rPr>
          <w:rFonts w:ascii="Constantia" w:hAnsi="Constantia"/>
          <w:lang w:val="en"/>
        </w:rPr>
        <w:t xml:space="preserve">Dobson, A. (2003). </w:t>
      </w:r>
      <w:r w:rsidRPr="00D84020">
        <w:rPr>
          <w:rFonts w:ascii="Constantia" w:hAnsi="Constantia"/>
          <w:i/>
          <w:lang w:val="en"/>
        </w:rPr>
        <w:t>Citizenship and the Environment</w:t>
      </w:r>
      <w:r w:rsidRPr="00D84020">
        <w:rPr>
          <w:rFonts w:ascii="Constantia" w:hAnsi="Constantia"/>
          <w:lang w:val="en"/>
        </w:rPr>
        <w:t xml:space="preserve">. Oxford, UK: Oxford University </w:t>
      </w:r>
      <w:proofErr w:type="gramStart"/>
      <w:r w:rsidRPr="00D84020">
        <w:rPr>
          <w:rFonts w:ascii="Constantia" w:hAnsi="Constantia"/>
          <w:lang w:val="en"/>
        </w:rPr>
        <w:t>Press..</w:t>
      </w:r>
      <w:proofErr w:type="gramEnd"/>
    </w:p>
    <w:p w:rsidR="00D84020" w:rsidRPr="00D84020" w:rsidRDefault="00D84020" w:rsidP="00D84020">
      <w:pPr>
        <w:pStyle w:val="BodyText"/>
        <w:spacing w:after="0" w:line="276" w:lineRule="auto"/>
        <w:ind w:left="720" w:hanging="720"/>
        <w:rPr>
          <w:rFonts w:ascii="Constantia" w:hAnsi="Constantia"/>
          <w:lang w:val="en"/>
        </w:rPr>
      </w:pPr>
      <w:proofErr w:type="spellStart"/>
      <w:r w:rsidRPr="00D84020">
        <w:rPr>
          <w:rFonts w:ascii="Constantia" w:hAnsi="Constantia"/>
          <w:lang w:val="en"/>
        </w:rPr>
        <w:t>Gibson,L</w:t>
      </w:r>
      <w:proofErr w:type="spellEnd"/>
      <w:r w:rsidRPr="00D84020">
        <w:rPr>
          <w:rFonts w:ascii="Constantia" w:hAnsi="Constantia"/>
          <w:lang w:val="en"/>
        </w:rPr>
        <w:t xml:space="preserve">; Rimmington &amp; Brown. (2008). Developing Global Awareness and </w:t>
      </w:r>
      <w:proofErr w:type="spellStart"/>
      <w:r w:rsidRPr="00D84020">
        <w:rPr>
          <w:rFonts w:ascii="Constantia" w:hAnsi="Constantia"/>
          <w:lang w:val="en"/>
        </w:rPr>
        <w:t>Res;ponsible</w:t>
      </w:r>
      <w:proofErr w:type="spellEnd"/>
      <w:r w:rsidRPr="00D84020">
        <w:rPr>
          <w:rFonts w:ascii="Constantia" w:hAnsi="Constantia"/>
          <w:lang w:val="en"/>
        </w:rPr>
        <w:t xml:space="preserve"> World Citizenship with Global</w:t>
      </w:r>
      <w:r w:rsidRPr="00D84020">
        <w:rPr>
          <w:rFonts w:ascii="Constantia" w:hAnsi="Constantia"/>
          <w:lang w:val="en"/>
        </w:rPr>
        <w:tab/>
        <w:t>Learning.</w:t>
      </w:r>
      <w:r w:rsidRPr="00D84020">
        <w:rPr>
          <w:rFonts w:ascii="Constantia" w:hAnsi="Constantia"/>
          <w:lang w:val="en"/>
        </w:rPr>
        <w:tab/>
        <w:t>DOI. 1O.ÍO8O/O278319O7O183627.</w:t>
      </w:r>
    </w:p>
    <w:p w:rsidR="00D84020" w:rsidRPr="00D84020" w:rsidRDefault="00D84020" w:rsidP="00D84020">
      <w:pPr>
        <w:pStyle w:val="BodyText"/>
        <w:spacing w:after="0" w:line="276" w:lineRule="auto"/>
        <w:ind w:left="720" w:hanging="720"/>
        <w:rPr>
          <w:rFonts w:ascii="Constantia" w:hAnsi="Constantia"/>
          <w:lang w:val="en"/>
        </w:rPr>
      </w:pPr>
      <w:proofErr w:type="spellStart"/>
      <w:r w:rsidRPr="00D84020">
        <w:rPr>
          <w:rFonts w:ascii="Constantia" w:hAnsi="Constantia"/>
          <w:lang w:val="en"/>
        </w:rPr>
        <w:t>Fujiwara,Y</w:t>
      </w:r>
      <w:proofErr w:type="spellEnd"/>
      <w:r w:rsidRPr="00D84020">
        <w:rPr>
          <w:rFonts w:ascii="Constantia" w:hAnsi="Constantia"/>
          <w:lang w:val="en"/>
        </w:rPr>
        <w:t xml:space="preserve">, Hite, R., </w:t>
      </w:r>
      <w:proofErr w:type="spellStart"/>
      <w:r w:rsidRPr="00D84020">
        <w:rPr>
          <w:rFonts w:ascii="Constantia" w:hAnsi="Constantia"/>
          <w:lang w:val="en"/>
        </w:rPr>
        <w:t>Wygant,H</w:t>
      </w:r>
      <w:proofErr w:type="spellEnd"/>
      <w:r w:rsidRPr="00D84020">
        <w:rPr>
          <w:rFonts w:ascii="Constantia" w:hAnsi="Constantia"/>
          <w:lang w:val="en"/>
        </w:rPr>
        <w:t xml:space="preserve">. </w:t>
      </w:r>
      <w:proofErr w:type="spellStart"/>
      <w:r w:rsidRPr="00D84020">
        <w:rPr>
          <w:rFonts w:ascii="Constantia" w:hAnsi="Constantia"/>
          <w:lang w:val="en"/>
        </w:rPr>
        <w:t>Paulsen,S</w:t>
      </w:r>
      <w:proofErr w:type="spellEnd"/>
      <w:r w:rsidRPr="00D84020">
        <w:rPr>
          <w:rFonts w:ascii="Constantia" w:hAnsi="Constantia"/>
          <w:lang w:val="en"/>
        </w:rPr>
        <w:t>. (2019). Engaging Students in Global Citizen</w:t>
      </w:r>
      <w:r>
        <w:rPr>
          <w:rFonts w:ascii="Constantia" w:hAnsi="Constantia"/>
          <w:lang w:val="en"/>
        </w:rPr>
        <w:t xml:space="preserve"> </w:t>
      </w:r>
      <w:r w:rsidRPr="00D84020">
        <w:rPr>
          <w:rFonts w:ascii="Constantia" w:hAnsi="Constantia"/>
          <w:lang w:val="en"/>
        </w:rPr>
        <w:t>Science:</w:t>
      </w:r>
      <w:r>
        <w:rPr>
          <w:rFonts w:ascii="Constantia" w:hAnsi="Constantia"/>
          <w:lang w:val="en"/>
        </w:rPr>
        <w:t xml:space="preserve"> </w:t>
      </w:r>
      <w:r w:rsidRPr="00D84020">
        <w:rPr>
          <w:rFonts w:ascii="Constantia" w:hAnsi="Constantia"/>
          <w:lang w:val="en"/>
        </w:rPr>
        <w:t>A</w:t>
      </w:r>
      <w:r>
        <w:rPr>
          <w:rFonts w:ascii="Constantia" w:hAnsi="Constantia"/>
          <w:lang w:val="en"/>
        </w:rPr>
        <w:t xml:space="preserve"> </w:t>
      </w:r>
      <w:proofErr w:type="spellStart"/>
      <w:r w:rsidRPr="00D84020">
        <w:rPr>
          <w:rFonts w:ascii="Constantia" w:hAnsi="Constantia"/>
          <w:lang w:val="en"/>
        </w:rPr>
        <w:t>U.S.Japan</w:t>
      </w:r>
      <w:proofErr w:type="spellEnd"/>
      <w:r w:rsidRPr="00D84020">
        <w:rPr>
          <w:rFonts w:ascii="Constantia" w:hAnsi="Constantia"/>
          <w:lang w:val="en"/>
        </w:rPr>
        <w:t xml:space="preserve"> collaborative</w:t>
      </w:r>
      <w:r w:rsidR="00D604FA">
        <w:rPr>
          <w:rFonts w:ascii="Constantia" w:hAnsi="Constantia"/>
          <w:lang w:val="en"/>
        </w:rPr>
        <w:t xml:space="preserve"> </w:t>
      </w:r>
      <w:r w:rsidRPr="00D84020">
        <w:rPr>
          <w:rFonts w:ascii="Constantia" w:hAnsi="Constantia"/>
          <w:lang w:val="en"/>
        </w:rPr>
        <w:t>watershed</w:t>
      </w:r>
      <w:r>
        <w:rPr>
          <w:rFonts w:ascii="Constantia" w:hAnsi="Constantia"/>
          <w:lang w:val="en"/>
        </w:rPr>
        <w:t xml:space="preserve"> </w:t>
      </w:r>
      <w:r w:rsidRPr="00D84020">
        <w:rPr>
          <w:rFonts w:ascii="Constantia" w:hAnsi="Constantia"/>
          <w:lang w:val="en"/>
        </w:rPr>
        <w:t>project. Childhood Education.</w:t>
      </w:r>
      <w:r w:rsidR="00D604FA">
        <w:rPr>
          <w:rFonts w:ascii="Constantia" w:hAnsi="Constantia"/>
          <w:lang w:val="en"/>
        </w:rPr>
        <w:t xml:space="preserve"> </w:t>
      </w:r>
      <w:r w:rsidRPr="00D84020">
        <w:rPr>
          <w:rFonts w:ascii="Constantia" w:hAnsi="Constantia"/>
          <w:lang w:val="en"/>
        </w:rPr>
        <w:t>95(2), 53-59, DOI: 10.1080/00094056.2019.1593761.</w:t>
      </w:r>
    </w:p>
    <w:p w:rsidR="00D84020" w:rsidRPr="00D84020" w:rsidRDefault="00D84020" w:rsidP="00D84020">
      <w:pPr>
        <w:pStyle w:val="BodyText"/>
        <w:spacing w:after="0" w:line="276" w:lineRule="auto"/>
        <w:ind w:left="720" w:hanging="720"/>
        <w:rPr>
          <w:rFonts w:ascii="Constantia" w:hAnsi="Constantia"/>
          <w:lang w:val="en"/>
        </w:rPr>
      </w:pPr>
      <w:r w:rsidRPr="00D84020">
        <w:rPr>
          <w:rFonts w:ascii="Constantia" w:hAnsi="Constantia"/>
          <w:lang w:val="en"/>
        </w:rPr>
        <w:t>Hattam, R (2018). Diversity, Global Citizenship and the Culturally Responsive School DOI. 10.1057/978-1-137-59733-5_17.</w:t>
      </w:r>
    </w:p>
    <w:p w:rsidR="00D84020" w:rsidRPr="00D84020" w:rsidRDefault="00D84020" w:rsidP="00D604FA">
      <w:pPr>
        <w:pStyle w:val="BodyText"/>
        <w:spacing w:after="0" w:line="276" w:lineRule="auto"/>
        <w:ind w:left="720" w:hanging="720"/>
        <w:rPr>
          <w:rFonts w:ascii="Constantia" w:hAnsi="Constantia"/>
          <w:lang w:val="en"/>
        </w:rPr>
      </w:pPr>
      <w:r w:rsidRPr="00D84020">
        <w:rPr>
          <w:rFonts w:ascii="Constantia" w:hAnsi="Constantia"/>
          <w:lang w:val="en"/>
        </w:rPr>
        <w:t xml:space="preserve">In Davies, I., Ching Ho, Li., Kiwan, D., Peck, C., Peterson, A., Sant, E., </w:t>
      </w:r>
      <w:proofErr w:type="spellStart"/>
      <w:r w:rsidRPr="00D84020">
        <w:rPr>
          <w:rFonts w:ascii="Constantia" w:hAnsi="Constantia"/>
          <w:lang w:val="en"/>
        </w:rPr>
        <w:t>Waghid</w:t>
      </w:r>
      <w:proofErr w:type="spellEnd"/>
      <w:r w:rsidRPr="00D84020">
        <w:rPr>
          <w:rFonts w:ascii="Constantia" w:hAnsi="Constantia"/>
          <w:lang w:val="en"/>
        </w:rPr>
        <w:t xml:space="preserve">, Y. (eds) </w:t>
      </w:r>
      <w:r w:rsidRPr="00D84020">
        <w:rPr>
          <w:rFonts w:ascii="Constantia" w:hAnsi="Constantia"/>
          <w:i/>
          <w:lang w:val="en"/>
        </w:rPr>
        <w:t>The Palgrave Handbook</w:t>
      </w:r>
      <w:r w:rsidR="00D604FA">
        <w:rPr>
          <w:rFonts w:ascii="Constantia" w:hAnsi="Constantia"/>
          <w:i/>
          <w:lang w:val="en"/>
        </w:rPr>
        <w:t xml:space="preserve"> </w:t>
      </w:r>
      <w:r w:rsidRPr="00D84020">
        <w:rPr>
          <w:rFonts w:ascii="Constantia" w:hAnsi="Constantia"/>
          <w:i/>
          <w:lang w:val="en"/>
        </w:rPr>
        <w:t>of</w:t>
      </w:r>
      <w:r w:rsidR="00D604FA">
        <w:rPr>
          <w:rFonts w:ascii="Constantia" w:hAnsi="Constantia"/>
          <w:i/>
          <w:lang w:val="en"/>
        </w:rPr>
        <w:t xml:space="preserve"> </w:t>
      </w:r>
      <w:r w:rsidRPr="00D84020">
        <w:rPr>
          <w:rFonts w:ascii="Constantia" w:hAnsi="Constantia"/>
          <w:i/>
          <w:lang w:val="en"/>
        </w:rPr>
        <w:t>Global</w:t>
      </w:r>
      <w:r w:rsidR="00D604FA">
        <w:rPr>
          <w:rFonts w:ascii="Constantia" w:hAnsi="Constantia"/>
          <w:i/>
          <w:lang w:val="en"/>
        </w:rPr>
        <w:t xml:space="preserve"> </w:t>
      </w:r>
      <w:r w:rsidRPr="00D84020">
        <w:rPr>
          <w:rFonts w:ascii="Constantia" w:hAnsi="Constantia"/>
          <w:i/>
          <w:lang w:val="en"/>
        </w:rPr>
        <w:t>Citizenship and Education</w:t>
      </w:r>
      <w:r w:rsidRPr="00D84020">
        <w:rPr>
          <w:rFonts w:ascii="Constantia" w:hAnsi="Constantia"/>
          <w:lang w:val="en"/>
        </w:rPr>
        <w:t>. ISBN 978-1-137-59733-5.</w:t>
      </w:r>
      <w:r w:rsidR="00D604FA">
        <w:rPr>
          <w:rFonts w:ascii="Constantia" w:hAnsi="Constantia"/>
          <w:lang w:val="en"/>
        </w:rPr>
        <w:t xml:space="preserve"> </w:t>
      </w:r>
      <w:hyperlink r:id="rId10" w:history="1">
        <w:r w:rsidR="00D604FA" w:rsidRPr="00493FA1">
          <w:rPr>
            <w:rStyle w:val="Hyperlink"/>
            <w:rFonts w:ascii="Constantia" w:hAnsi="Constantia"/>
            <w:lang w:val="en"/>
          </w:rPr>
          <w:t>https://doi.org/10.1057/978-1-137-597</w:t>
        </w:r>
      </w:hyperlink>
      <w:r w:rsidRPr="00D84020">
        <w:rPr>
          <w:rFonts w:ascii="Constantia" w:hAnsi="Constantia"/>
          <w:lang w:val="en"/>
        </w:rPr>
        <w:t xml:space="preserve"> </w:t>
      </w:r>
      <w:hyperlink r:id="rId11">
        <w:r w:rsidRPr="00D84020">
          <w:rPr>
            <w:rStyle w:val="Hyperlink"/>
            <w:rFonts w:ascii="Constantia" w:hAnsi="Constantia"/>
            <w:lang w:val="en"/>
          </w:rPr>
          <w:t>33-5</w:t>
        </w:r>
      </w:hyperlink>
      <w:r w:rsidRPr="00D84020">
        <w:rPr>
          <w:rFonts w:ascii="Constantia" w:hAnsi="Constantia"/>
          <w:lang w:val="en"/>
        </w:rPr>
        <w:t>.</w:t>
      </w:r>
    </w:p>
    <w:p w:rsidR="00D84020" w:rsidRPr="00D84020" w:rsidRDefault="00D84020" w:rsidP="00D84020">
      <w:pPr>
        <w:pStyle w:val="BodyText"/>
        <w:spacing w:after="0" w:line="276" w:lineRule="auto"/>
        <w:ind w:left="720" w:hanging="720"/>
        <w:rPr>
          <w:rFonts w:ascii="Constantia" w:hAnsi="Constantia"/>
          <w:lang w:val="en"/>
        </w:rPr>
      </w:pPr>
      <w:r w:rsidRPr="00D84020">
        <w:rPr>
          <w:rFonts w:ascii="Constantia" w:hAnsi="Constantia"/>
          <w:lang w:val="en"/>
        </w:rPr>
        <w:t xml:space="preserve">Jacoby, Barbara and Associates. (2009). </w:t>
      </w:r>
      <w:r w:rsidRPr="00D84020">
        <w:rPr>
          <w:rFonts w:ascii="Constantia" w:hAnsi="Constantia"/>
          <w:i/>
          <w:lang w:val="en"/>
        </w:rPr>
        <w:t>Civic Engagement in Higher Education, Concepts and Practices</w:t>
      </w:r>
      <w:r w:rsidRPr="00D84020">
        <w:rPr>
          <w:rFonts w:ascii="Constantia" w:hAnsi="Constantia"/>
          <w:lang w:val="en"/>
        </w:rPr>
        <w:t>. San Francisco: A Wiley Imprint</w:t>
      </w:r>
    </w:p>
    <w:p w:rsidR="00D84020" w:rsidRPr="00D84020" w:rsidRDefault="00D84020" w:rsidP="00D84020">
      <w:pPr>
        <w:pStyle w:val="BodyText"/>
        <w:spacing w:after="0" w:line="276" w:lineRule="auto"/>
        <w:ind w:left="720" w:hanging="720"/>
        <w:rPr>
          <w:rFonts w:ascii="Constantia" w:hAnsi="Constantia"/>
          <w:lang w:val="en"/>
        </w:rPr>
      </w:pPr>
      <w:r w:rsidRPr="00D84020">
        <w:rPr>
          <w:rFonts w:ascii="Constantia" w:hAnsi="Constantia"/>
          <w:lang w:val="en"/>
        </w:rPr>
        <w:t xml:space="preserve">Marshall, H. (2009). Educating the European Citizen in the Global Age: Engaging with the Post national and Identifying a Research Agenda. </w:t>
      </w:r>
      <w:r w:rsidRPr="00D84020">
        <w:rPr>
          <w:rFonts w:ascii="Constantia" w:hAnsi="Constantia"/>
          <w:i/>
          <w:lang w:val="en"/>
        </w:rPr>
        <w:t xml:space="preserve">Journal of Curriculum Studies </w:t>
      </w:r>
      <w:r w:rsidRPr="00D84020">
        <w:rPr>
          <w:rFonts w:ascii="Constantia" w:hAnsi="Constantia"/>
          <w:lang w:val="en"/>
        </w:rPr>
        <w:t>. 41 (2): 247–267.</w:t>
      </w:r>
    </w:p>
    <w:p w:rsidR="00D84020" w:rsidRPr="00D84020" w:rsidRDefault="00D84020" w:rsidP="00D84020">
      <w:pPr>
        <w:pStyle w:val="BodyText"/>
        <w:spacing w:after="0" w:line="276" w:lineRule="auto"/>
        <w:ind w:left="720" w:hanging="720"/>
        <w:rPr>
          <w:rFonts w:ascii="Constantia" w:hAnsi="Constantia"/>
          <w:lang w:val="en"/>
        </w:rPr>
      </w:pPr>
      <w:r w:rsidRPr="00D84020">
        <w:rPr>
          <w:rFonts w:ascii="Constantia" w:hAnsi="Constantia"/>
          <w:lang w:val="en"/>
        </w:rPr>
        <w:t xml:space="preserve">Jacoby, Barbara and Associates. (2009). </w:t>
      </w:r>
      <w:r w:rsidRPr="00D84020">
        <w:rPr>
          <w:rFonts w:ascii="Constantia" w:hAnsi="Constantia"/>
          <w:i/>
          <w:lang w:val="en"/>
        </w:rPr>
        <w:t>Civic Engagement in Higher Education, Concepts and Practices</w:t>
      </w:r>
      <w:r w:rsidRPr="00D84020">
        <w:rPr>
          <w:rFonts w:ascii="Constantia" w:hAnsi="Constantia"/>
          <w:lang w:val="en"/>
        </w:rPr>
        <w:t>. San Francisco: A Wiley Imprint</w:t>
      </w:r>
    </w:p>
    <w:p w:rsidR="00D84020" w:rsidRPr="00D84020" w:rsidRDefault="00D84020" w:rsidP="00D84020">
      <w:pPr>
        <w:pStyle w:val="BodyText"/>
        <w:spacing w:after="0" w:line="276" w:lineRule="auto"/>
        <w:ind w:left="720" w:hanging="720"/>
        <w:rPr>
          <w:rFonts w:ascii="Constantia" w:hAnsi="Constantia"/>
          <w:lang w:val="en"/>
        </w:rPr>
      </w:pPr>
      <w:r w:rsidRPr="00D84020">
        <w:rPr>
          <w:rFonts w:ascii="Constantia" w:hAnsi="Constantia"/>
          <w:lang w:val="en"/>
        </w:rPr>
        <w:t xml:space="preserve">Marshall, H. (2009). Educating the European Citizen in the Global Age: Engaging with the Post national and Identifying a Research Agenda. </w:t>
      </w:r>
      <w:r w:rsidRPr="00D84020">
        <w:rPr>
          <w:rFonts w:ascii="Constantia" w:hAnsi="Constantia"/>
          <w:i/>
          <w:lang w:val="en"/>
        </w:rPr>
        <w:t xml:space="preserve">Journal of Curriculum Studies </w:t>
      </w:r>
      <w:r w:rsidRPr="00D84020">
        <w:rPr>
          <w:rFonts w:ascii="Constantia" w:hAnsi="Constantia"/>
          <w:lang w:val="en"/>
        </w:rPr>
        <w:t>. 41 (2): 247–267.</w:t>
      </w:r>
    </w:p>
    <w:p w:rsidR="00D84020" w:rsidRPr="00D84020" w:rsidRDefault="00D84020" w:rsidP="00D84020">
      <w:pPr>
        <w:pStyle w:val="BodyText"/>
        <w:spacing w:after="0" w:line="276" w:lineRule="auto"/>
        <w:ind w:left="720" w:hanging="720"/>
        <w:rPr>
          <w:rFonts w:ascii="Constantia" w:hAnsi="Constantia"/>
          <w:lang w:val="en"/>
        </w:rPr>
      </w:pPr>
      <w:r w:rsidRPr="00D84020">
        <w:rPr>
          <w:rFonts w:ascii="Constantia" w:hAnsi="Constantia"/>
          <w:lang w:val="en"/>
        </w:rPr>
        <w:t xml:space="preserve">Mashall, H. (2011). Instrumentalism, ideals and imaginaries: </w:t>
      </w:r>
      <w:proofErr w:type="spellStart"/>
      <w:r w:rsidRPr="00D84020">
        <w:rPr>
          <w:rFonts w:ascii="Constantia" w:hAnsi="Constantia"/>
          <w:lang w:val="en"/>
        </w:rPr>
        <w:t>theorising</w:t>
      </w:r>
      <w:proofErr w:type="spellEnd"/>
      <w:r w:rsidRPr="00D84020">
        <w:rPr>
          <w:rFonts w:ascii="Constantia" w:hAnsi="Constantia"/>
          <w:lang w:val="en"/>
        </w:rPr>
        <w:t xml:space="preserve"> the contested space of global citizenship education  in  schools. </w:t>
      </w:r>
      <w:proofErr w:type="spellStart"/>
      <w:r w:rsidRPr="00D84020">
        <w:rPr>
          <w:rFonts w:ascii="Constantia" w:hAnsi="Constantia"/>
          <w:lang w:val="en"/>
        </w:rPr>
        <w:t>Globalistaion</w:t>
      </w:r>
      <w:proofErr w:type="spellEnd"/>
      <w:r w:rsidRPr="00D84020">
        <w:rPr>
          <w:rFonts w:ascii="Constantia" w:hAnsi="Constantia"/>
          <w:lang w:val="en"/>
        </w:rPr>
        <w:t>. 9(3-4)411-426.</w:t>
      </w:r>
    </w:p>
    <w:p w:rsidR="008E5771" w:rsidRPr="00D604FA" w:rsidRDefault="00D84020" w:rsidP="00D604FA">
      <w:pPr>
        <w:pStyle w:val="BodyText"/>
        <w:spacing w:after="0" w:line="276" w:lineRule="auto"/>
        <w:ind w:left="720" w:hanging="720"/>
        <w:rPr>
          <w:rFonts w:ascii="Constantia" w:hAnsi="Constantia"/>
          <w:lang w:val="en"/>
        </w:rPr>
      </w:pPr>
      <w:proofErr w:type="spellStart"/>
      <w:r w:rsidRPr="00D84020">
        <w:rPr>
          <w:rFonts w:ascii="Constantia" w:hAnsi="Constantia"/>
          <w:lang w:val="en"/>
        </w:rPr>
        <w:t>Noddings,N</w:t>
      </w:r>
      <w:proofErr w:type="spellEnd"/>
      <w:r w:rsidRPr="00D84020">
        <w:rPr>
          <w:rFonts w:ascii="Constantia" w:hAnsi="Constantia"/>
          <w:lang w:val="en"/>
        </w:rPr>
        <w:t xml:space="preserve">.(2005) </w:t>
      </w:r>
      <w:r w:rsidRPr="00D84020">
        <w:rPr>
          <w:rFonts w:ascii="Constantia" w:hAnsi="Constantia"/>
          <w:i/>
          <w:lang w:val="en"/>
        </w:rPr>
        <w:t xml:space="preserve">Educating </w:t>
      </w:r>
      <w:proofErr w:type="spellStart"/>
      <w:r w:rsidRPr="00D84020">
        <w:rPr>
          <w:rFonts w:ascii="Constantia" w:hAnsi="Constantia"/>
          <w:i/>
          <w:lang w:val="en"/>
        </w:rPr>
        <w:t>Citiizensfor</w:t>
      </w:r>
      <w:proofErr w:type="spellEnd"/>
      <w:r w:rsidRPr="00D84020">
        <w:rPr>
          <w:rFonts w:ascii="Constantia" w:hAnsi="Constantia"/>
          <w:i/>
          <w:lang w:val="en"/>
        </w:rPr>
        <w:t xml:space="preserve"> Global </w:t>
      </w:r>
      <w:proofErr w:type="spellStart"/>
      <w:r w:rsidRPr="00D84020">
        <w:rPr>
          <w:rFonts w:ascii="Constantia" w:hAnsi="Constantia"/>
          <w:i/>
          <w:lang w:val="en"/>
        </w:rPr>
        <w:t>Awareness</w:t>
      </w:r>
      <w:r w:rsidRPr="00D84020">
        <w:rPr>
          <w:rFonts w:ascii="Constantia" w:hAnsi="Constantia"/>
          <w:lang w:val="en"/>
        </w:rPr>
        <w:t>.New</w:t>
      </w:r>
      <w:proofErr w:type="spellEnd"/>
      <w:r w:rsidRPr="00D84020">
        <w:rPr>
          <w:rFonts w:ascii="Constantia" w:hAnsi="Constantia"/>
          <w:lang w:val="en"/>
        </w:rPr>
        <w:t xml:space="preserve"> York: Teachers College Press.</w:t>
      </w:r>
    </w:p>
    <w:sectPr w:rsidR="008E5771" w:rsidRPr="00D604FA" w:rsidSect="00D604FA">
      <w:headerReference w:type="even" r:id="rId12"/>
      <w:headerReference w:type="default" r:id="rId13"/>
      <w:footerReference w:type="even" r:id="rId14"/>
      <w:footerReference w:type="default" r:id="rId15"/>
      <w:headerReference w:type="first" r:id="rId16"/>
      <w:footerReference w:type="first" r:id="rId17"/>
      <w:pgSz w:w="11906" w:h="16838"/>
      <w:pgMar w:top="1276" w:right="1440" w:bottom="1440" w:left="1440" w:header="964" w:footer="512" w:gutter="0"/>
      <w:pgNumType w:start="7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5719" w:rsidRDefault="00855719">
      <w:pPr>
        <w:spacing w:after="0" w:line="240" w:lineRule="auto"/>
      </w:pPr>
      <w:r>
        <w:separator/>
      </w:r>
    </w:p>
  </w:endnote>
  <w:endnote w:type="continuationSeparator" w:id="0">
    <w:p w:rsidR="00855719" w:rsidRDefault="00855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entaur">
    <w:panose1 w:val="020305040502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Rosarivo">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243" w:rsidRDefault="00A91243">
    <w:pPr>
      <w:widowControl w:val="0"/>
      <w:pBdr>
        <w:top w:val="nil"/>
        <w:left w:val="nil"/>
        <w:bottom w:val="nil"/>
        <w:right w:val="nil"/>
        <w:between w:val="nil"/>
      </w:pBdr>
      <w:spacing w:after="0" w:line="276" w:lineRule="auto"/>
      <w:rPr>
        <w:rFonts w:ascii="Times New Roman" w:eastAsia="Times New Roman" w:hAnsi="Times New Roman"/>
        <w:b/>
        <w:color w:val="000000"/>
        <w:sz w:val="22"/>
        <w:szCs w:val="22"/>
      </w:rPr>
    </w:pPr>
  </w:p>
  <w:tbl>
    <w:tblPr>
      <w:tblStyle w:val="a3"/>
      <w:tblW w:w="8984" w:type="dxa"/>
      <w:tblInd w:w="115" w:type="dxa"/>
      <w:tblBorders>
        <w:top w:val="single" w:sz="12" w:space="0" w:color="000000"/>
      </w:tblBorders>
      <w:tblLayout w:type="fixed"/>
      <w:tblLook w:val="0400" w:firstRow="0" w:lastRow="0" w:firstColumn="0" w:lastColumn="0" w:noHBand="0" w:noVBand="1"/>
    </w:tblPr>
    <w:tblGrid>
      <w:gridCol w:w="3456"/>
      <w:gridCol w:w="2765"/>
      <w:gridCol w:w="2763"/>
    </w:tblGrid>
    <w:tr w:rsidR="00A91243">
      <w:tc>
        <w:tcPr>
          <w:tcW w:w="3456" w:type="dxa"/>
          <w:vAlign w:val="center"/>
        </w:tcPr>
        <w:p w:rsidR="00A91243" w:rsidRDefault="00D03476">
          <w:pPr>
            <w:pBdr>
              <w:top w:val="nil"/>
              <w:left w:val="nil"/>
              <w:bottom w:val="nil"/>
              <w:right w:val="nil"/>
              <w:between w:val="nil"/>
            </w:pBdr>
            <w:tabs>
              <w:tab w:val="center" w:pos="4513"/>
              <w:tab w:val="right" w:pos="9026"/>
            </w:tabs>
            <w:spacing w:after="0" w:line="240" w:lineRule="auto"/>
            <w:jc w:val="both"/>
            <w:rPr>
              <w:rFonts w:ascii="Times New Roman" w:eastAsia="Times New Roman" w:hAnsi="Times New Roman"/>
              <w:smallCaps/>
              <w:color w:val="000000"/>
              <w:sz w:val="20"/>
              <w:szCs w:val="20"/>
            </w:rPr>
          </w:pPr>
          <w:r>
            <w:rPr>
              <w:rFonts w:ascii="Times New Roman" w:eastAsia="Times New Roman" w:hAnsi="Times New Roman"/>
              <w:smallCaps/>
              <w:color w:val="FF0000"/>
              <w:sz w:val="20"/>
              <w:szCs w:val="20"/>
            </w:rPr>
            <w:t xml:space="preserve">DOI: </w:t>
          </w:r>
          <w:r>
            <w:rPr>
              <w:rFonts w:ascii="Times New Roman" w:eastAsia="Times New Roman" w:hAnsi="Times New Roman"/>
              <w:color w:val="FF0000"/>
              <w:sz w:val="20"/>
              <w:szCs w:val="20"/>
              <w:highlight w:val="white"/>
            </w:rPr>
            <w:t>http://dx.doi.org/ 10.21067/</w:t>
          </w:r>
          <w:proofErr w:type="spellStart"/>
          <w:r>
            <w:rPr>
              <w:rFonts w:ascii="Times New Roman" w:eastAsia="Times New Roman" w:hAnsi="Times New Roman"/>
              <w:color w:val="FF0000"/>
              <w:sz w:val="20"/>
              <w:szCs w:val="20"/>
              <w:highlight w:val="white"/>
            </w:rPr>
            <w:t>jmk</w:t>
          </w:r>
          <w:proofErr w:type="spellEnd"/>
        </w:p>
      </w:tc>
      <w:tc>
        <w:tcPr>
          <w:tcW w:w="2765" w:type="dxa"/>
        </w:tcPr>
        <w:p w:rsidR="00A91243" w:rsidRDefault="00D03476">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p>
      </w:tc>
      <w:tc>
        <w:tcPr>
          <w:tcW w:w="2763" w:type="dxa"/>
          <w:vAlign w:val="center"/>
        </w:tcPr>
        <w:p w:rsidR="00A91243" w:rsidRDefault="00D03476">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smallCaps/>
              <w:color w:val="000000"/>
              <w:sz w:val="20"/>
              <w:szCs w:val="20"/>
            </w:rPr>
          </w:pPr>
          <w:r>
            <w:rPr>
              <w:rFonts w:ascii="Times New Roman" w:eastAsia="Times New Roman" w:hAnsi="Times New Roman"/>
              <w:color w:val="000000"/>
              <w:sz w:val="20"/>
              <w:szCs w:val="20"/>
            </w:rPr>
            <w:t>email: jp3kn@unikama.ac.id</w:t>
          </w:r>
        </w:p>
      </w:tc>
    </w:tr>
  </w:tbl>
  <w:p w:rsidR="00A91243" w:rsidRDefault="00A91243">
    <w:pPr>
      <w:pBdr>
        <w:top w:val="nil"/>
        <w:left w:val="nil"/>
        <w:bottom w:val="nil"/>
        <w:right w:val="nil"/>
        <w:between w:val="nil"/>
      </w:pBdr>
      <w:tabs>
        <w:tab w:val="center" w:pos="4513"/>
        <w:tab w:val="right" w:pos="9026"/>
      </w:tabs>
      <w:spacing w:after="0" w:line="240" w:lineRule="auto"/>
      <w:rPr>
        <w:rFonts w:eastAsia="Bookman Old Style" w:cs="Bookman Old Style"/>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243" w:rsidRDefault="00D03476">
    <w:pPr>
      <w:pBdr>
        <w:top w:val="nil"/>
        <w:left w:val="nil"/>
        <w:bottom w:val="nil"/>
        <w:right w:val="nil"/>
        <w:between w:val="nil"/>
      </w:pBdr>
      <w:tabs>
        <w:tab w:val="center" w:pos="4513"/>
        <w:tab w:val="right" w:pos="9026"/>
      </w:tabs>
      <w:spacing w:after="0" w:line="240" w:lineRule="auto"/>
      <w:jc w:val="center"/>
      <w:rPr>
        <w:rFonts w:eastAsia="Bookman Old Style" w:cs="Bookman Old Style"/>
        <w:color w:val="00000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220A3E">
      <w:rPr>
        <w:rFonts w:ascii="Times New Roman" w:eastAsia="Times New Roman" w:hAnsi="Times New Roman"/>
        <w:noProof/>
        <w:color w:val="000000"/>
        <w:sz w:val="20"/>
        <w:szCs w:val="20"/>
      </w:rPr>
      <w:t>8</w:t>
    </w:r>
    <w:r>
      <w:rPr>
        <w:rFonts w:ascii="Times New Roman" w:eastAsia="Times New Roman" w:hAnsi="Times New Roman"/>
        <w:color w:val="000000"/>
        <w:sz w:val="20"/>
        <w:szCs w:val="20"/>
      </w:rPr>
      <w:fldChar w:fldCharType="end"/>
    </w:r>
    <w:r>
      <w:rPr>
        <w:noProof/>
      </w:rPr>
      <w:drawing>
        <wp:anchor distT="0" distB="0" distL="0" distR="0" simplePos="0" relativeHeight="251660288" behindDoc="1" locked="0" layoutInCell="1" hidden="0" allowOverlap="1">
          <wp:simplePos x="0" y="0"/>
          <wp:positionH relativeFrom="column">
            <wp:posOffset>0</wp:posOffset>
          </wp:positionH>
          <wp:positionV relativeFrom="paragraph">
            <wp:posOffset>-146264</wp:posOffset>
          </wp:positionV>
          <wp:extent cx="5731510" cy="887095"/>
          <wp:effectExtent l="0" t="0" r="0" b="0"/>
          <wp:wrapNone/>
          <wp:docPr id="57" name="image1.jpg" descr="Application&#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jpg" descr="Application&#10;&#10;Description automatically generated with medium confidence"/>
                  <pic:cNvPicPr preferRelativeResize="0"/>
                </pic:nvPicPr>
                <pic:blipFill>
                  <a:blip r:embed="rId1"/>
                  <a:srcRect/>
                  <a:stretch>
                    <a:fillRect/>
                  </a:stretch>
                </pic:blipFill>
                <pic:spPr>
                  <a:xfrm>
                    <a:off x="0" y="0"/>
                    <a:ext cx="5731510" cy="887095"/>
                  </a:xfrm>
                  <a:prstGeom prst="rect">
                    <a:avLst/>
                  </a:prstGeom>
                  <a:ln/>
                </pic:spPr>
              </pic:pic>
            </a:graphicData>
          </a:graphic>
        </wp:anchor>
      </w:drawing>
    </w:r>
    <w:r>
      <w:rPr>
        <w:noProof/>
      </w:rPr>
      <mc:AlternateContent>
        <mc:Choice Requires="wps">
          <w:drawing>
            <wp:anchor distT="45720" distB="45720" distL="114300" distR="114300" simplePos="0" relativeHeight="251661312" behindDoc="0" locked="0" layoutInCell="1" hidden="0" allowOverlap="1">
              <wp:simplePos x="0" y="0"/>
              <wp:positionH relativeFrom="column">
                <wp:posOffset>3390900</wp:posOffset>
              </wp:positionH>
              <wp:positionV relativeFrom="paragraph">
                <wp:posOffset>-30479</wp:posOffset>
              </wp:positionV>
              <wp:extent cx="2419350" cy="226695"/>
              <wp:effectExtent l="0" t="0" r="0" b="0"/>
              <wp:wrapSquare wrapText="bothSides" distT="45720" distB="45720" distL="114300" distR="114300"/>
              <wp:docPr id="55" name="Rectangle 55"/>
              <wp:cNvGraphicFramePr/>
              <a:graphic xmlns:a="http://schemas.openxmlformats.org/drawingml/2006/main">
                <a:graphicData uri="http://schemas.microsoft.com/office/word/2010/wordprocessingShape">
                  <wps:wsp>
                    <wps:cNvSpPr/>
                    <wps:spPr>
                      <a:xfrm>
                        <a:off x="4141088" y="3671415"/>
                        <a:ext cx="2409825" cy="217170"/>
                      </a:xfrm>
                      <a:prstGeom prst="rect">
                        <a:avLst/>
                      </a:prstGeom>
                      <a:noFill/>
                      <a:ln>
                        <a:noFill/>
                      </a:ln>
                    </wps:spPr>
                    <wps:txbx>
                      <w:txbxContent>
                        <w:p w:rsidR="00A91243" w:rsidRDefault="00AC531D">
                          <w:pPr>
                            <w:spacing w:line="258" w:lineRule="auto"/>
                            <w:jc w:val="right"/>
                            <w:textDirection w:val="btLr"/>
                          </w:pPr>
                          <w:r w:rsidRPr="00AC531D">
                            <w:rPr>
                              <w:rFonts w:ascii="Constantia" w:eastAsia="Constantia" w:hAnsi="Constantia" w:cs="Constantia"/>
                              <w:color w:val="000000"/>
                              <w:sz w:val="16"/>
                            </w:rPr>
                            <w:t>https://journal.u</w:t>
                          </w:r>
                          <w:r>
                            <w:rPr>
                              <w:rFonts w:ascii="Constantia" w:eastAsia="Constantia" w:hAnsi="Constantia" w:cs="Constantia"/>
                              <w:color w:val="000000"/>
                              <w:sz w:val="16"/>
                            </w:rPr>
                            <w:t>nesa.ac.id/index.php/jcms</w:t>
                          </w:r>
                        </w:p>
                      </w:txbxContent>
                    </wps:txbx>
                    <wps:bodyPr spcFirstLastPara="1" wrap="square" lIns="91425" tIns="45700" rIns="91425" bIns="45700" anchor="t" anchorCtr="0">
                      <a:noAutofit/>
                    </wps:bodyPr>
                  </wps:wsp>
                </a:graphicData>
              </a:graphic>
            </wp:anchor>
          </w:drawing>
        </mc:Choice>
        <mc:Fallback>
          <w:pict>
            <v:rect id="Rectangle 55" o:spid="_x0000_s1026" style="position:absolute;left:0;text-align:left;margin-left:267pt;margin-top:-2.4pt;width:190.5pt;height:17.85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" filled="f" stroked="f">
              <v:textbox inset="2.53958mm,1.2694mm,2.53958mm,1.2694mm">
                <w:txbxContent>
                  <w:p w:rsidR="00A91243" w:rsidRDefault="00AC531D">
                    <w:pPr>
                      <w:spacing w:line="258" w:lineRule="auto"/>
                      <w:jc w:val="right"/>
                      <w:textDirection w:val="btLr"/>
                    </w:pPr>
                    <w:r w:rsidRPr="00AC531D">
                      <w:rPr>
                        <w:rFonts w:ascii="Constantia" w:eastAsia="Constantia" w:hAnsi="Constantia" w:cs="Constantia"/>
                        <w:color w:val="000000"/>
                        <w:sz w:val="16"/>
                      </w:rPr>
                      <w:t>https://journal.u</w:t>
                    </w:r>
                    <w:r>
                      <w:rPr>
                        <w:rFonts w:ascii="Constantia" w:eastAsia="Constantia" w:hAnsi="Constantia" w:cs="Constantia"/>
                        <w:color w:val="000000"/>
                        <w:sz w:val="16"/>
                      </w:rPr>
                      <w:t>nesa.ac.id/index.php/jcms</w:t>
                    </w:r>
                  </w:p>
                </w:txbxContent>
              </v:textbox>
              <w10:wrap type="square"/>
            </v:rect>
          </w:pict>
        </mc:Fallback>
      </mc:AlternateContent>
    </w:r>
    <w:r>
      <w:rPr>
        <w:noProof/>
      </w:rPr>
      <mc:AlternateContent>
        <mc:Choice Requires="wps">
          <w:drawing>
            <wp:anchor distT="45720" distB="45720" distL="114300" distR="114300" simplePos="0" relativeHeight="251662336" behindDoc="0" locked="0" layoutInCell="1" hidden="0" allowOverlap="1">
              <wp:simplePos x="0" y="0"/>
              <wp:positionH relativeFrom="column">
                <wp:posOffset>-101599</wp:posOffset>
              </wp:positionH>
              <wp:positionV relativeFrom="paragraph">
                <wp:posOffset>-81279</wp:posOffset>
              </wp:positionV>
              <wp:extent cx="2419350" cy="311785"/>
              <wp:effectExtent l="0" t="0" r="0" b="0"/>
              <wp:wrapSquare wrapText="bothSides" distT="45720" distB="45720" distL="114300" distR="114300"/>
              <wp:docPr id="54" name="Rectangle 54"/>
              <wp:cNvGraphicFramePr/>
              <a:graphic xmlns:a="http://schemas.openxmlformats.org/drawingml/2006/main">
                <a:graphicData uri="http://schemas.microsoft.com/office/word/2010/wordprocessingShape">
                  <wps:wsp>
                    <wps:cNvSpPr/>
                    <wps:spPr>
                      <a:xfrm>
                        <a:off x="4141088" y="3628870"/>
                        <a:ext cx="2409825" cy="302260"/>
                      </a:xfrm>
                      <a:prstGeom prst="rect">
                        <a:avLst/>
                      </a:prstGeom>
                      <a:noFill/>
                      <a:ln>
                        <a:noFill/>
                      </a:ln>
                    </wps:spPr>
                    <wps:txbx>
                      <w:txbxContent>
                        <w:p w:rsidR="00A91243" w:rsidRDefault="00D03476">
                          <w:pPr>
                            <w:spacing w:line="258" w:lineRule="auto"/>
                            <w:textDirection w:val="btLr"/>
                          </w:pPr>
                          <w:r>
                            <w:rPr>
                              <w:rFonts w:ascii="Times New Roman" w:eastAsia="Times New Roman" w:hAnsi="Times New Roman"/>
                              <w:color w:val="FFFFFF"/>
                              <w:sz w:val="16"/>
                            </w:rPr>
                            <w:t>:</w:t>
                          </w:r>
                          <w:r>
                            <w:rPr>
                              <w:rFonts w:ascii="Times New Roman" w:eastAsia="Times New Roman" w:hAnsi="Times New Roman"/>
                              <w:b/>
                              <w:color w:val="000000"/>
                              <w:sz w:val="18"/>
                            </w:rPr>
                            <w:t xml:space="preserve">  </w:t>
                          </w:r>
                        </w:p>
                      </w:txbxContent>
                    </wps:txbx>
                    <wps:bodyPr spcFirstLastPara="1" wrap="square" lIns="91425" tIns="45700" rIns="91425" bIns="45700" anchor="t" anchorCtr="0">
                      <a:noAutofit/>
                    </wps:bodyPr>
                  </wps:wsp>
                </a:graphicData>
              </a:graphic>
            </wp:anchor>
          </w:drawing>
        </mc:Choice>
        <mc:Fallback>
          <w:pict>
            <v:rect id="Rectangle 54" o:spid="_x0000_s1027" style="position:absolute;left:0;text-align:left;margin-left:-8pt;margin-top:-6.4pt;width:190.5pt;height:24.5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" filled="f" stroked="f">
              <v:textbox inset="2.53958mm,1.2694mm,2.53958mm,1.2694mm">
                <w:txbxContent>
                  <w:p w:rsidR="00A91243" w:rsidRDefault="00D03476">
                    <w:pPr>
                      <w:spacing w:line="258" w:lineRule="auto"/>
                      <w:textDirection w:val="btLr"/>
                    </w:pPr>
                    <w:r>
                      <w:rPr>
                        <w:rFonts w:ascii="Times New Roman" w:eastAsia="Times New Roman" w:hAnsi="Times New Roman"/>
                        <w:color w:val="FFFFFF"/>
                        <w:sz w:val="16"/>
                      </w:rPr>
                      <w:t>:</w:t>
                    </w:r>
                    <w:r>
                      <w:rPr>
                        <w:rFonts w:ascii="Times New Roman" w:eastAsia="Times New Roman" w:hAnsi="Times New Roman"/>
                        <w:b/>
                        <w:color w:val="000000"/>
                        <w:sz w:val="18"/>
                      </w:rPr>
                      <w:t xml:space="preserve">  </w:t>
                    </w:r>
                  </w:p>
                </w:txbxContent>
              </v:textbox>
              <w10:wrap type="square"/>
            </v:rect>
          </w:pict>
        </mc:Fallback>
      </mc:AlternateContent>
    </w:r>
  </w:p>
  <w:p w:rsidR="00A91243" w:rsidRDefault="00A91243">
    <w:pPr>
      <w:pBdr>
        <w:top w:val="nil"/>
        <w:left w:val="nil"/>
        <w:bottom w:val="nil"/>
        <w:right w:val="nil"/>
        <w:between w:val="nil"/>
      </w:pBdr>
      <w:tabs>
        <w:tab w:val="center" w:pos="4513"/>
        <w:tab w:val="right" w:pos="9026"/>
      </w:tabs>
      <w:spacing w:after="0" w:line="240" w:lineRule="auto"/>
      <w:rPr>
        <w:rFonts w:eastAsia="Bookman Old Style" w:cs="Bookman Old Style"/>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243" w:rsidRDefault="00A91243">
    <w:pPr>
      <w:pBdr>
        <w:top w:val="nil"/>
        <w:left w:val="nil"/>
        <w:bottom w:val="nil"/>
        <w:right w:val="nil"/>
        <w:between w:val="nil"/>
      </w:pBdr>
      <w:tabs>
        <w:tab w:val="center" w:pos="4513"/>
        <w:tab w:val="right" w:pos="9026"/>
      </w:tabs>
      <w:spacing w:after="0" w:line="240" w:lineRule="auto"/>
      <w:rPr>
        <w:rFonts w:eastAsia="Bookman Old Style" w:cs="Bookman Old Style"/>
        <w:color w:val="000000"/>
      </w:rPr>
    </w:pPr>
  </w:p>
  <w:tbl>
    <w:tblPr>
      <w:tblStyle w:val="a4"/>
      <w:tblW w:w="9106" w:type="dxa"/>
      <w:tblInd w:w="-34" w:type="dxa"/>
      <w:tblBorders>
        <w:bottom w:val="single" w:sz="4" w:space="0" w:color="000000"/>
      </w:tblBorders>
      <w:tblLayout w:type="fixed"/>
      <w:tblLook w:val="0400" w:firstRow="0" w:lastRow="0" w:firstColumn="0" w:lastColumn="0" w:noHBand="0" w:noVBand="1"/>
    </w:tblPr>
    <w:tblGrid>
      <w:gridCol w:w="1276"/>
      <w:gridCol w:w="7830"/>
    </w:tblGrid>
    <w:tr w:rsidR="00A91243">
      <w:tc>
        <w:tcPr>
          <w:tcW w:w="1276" w:type="dxa"/>
        </w:tcPr>
        <w:p w:rsidR="00A91243" w:rsidRDefault="00D03476">
          <w:pPr>
            <w:pBdr>
              <w:top w:val="nil"/>
              <w:left w:val="nil"/>
              <w:bottom w:val="nil"/>
              <w:right w:val="nil"/>
              <w:between w:val="nil"/>
            </w:pBdr>
            <w:spacing w:after="0" w:line="240" w:lineRule="auto"/>
            <w:rPr>
              <w:rFonts w:ascii="Constantia" w:eastAsia="Constantia" w:hAnsi="Constantia" w:cs="Constantia"/>
              <w:b/>
              <w:color w:val="000000"/>
              <w:sz w:val="20"/>
              <w:szCs w:val="20"/>
            </w:rPr>
          </w:pPr>
          <w:r>
            <w:rPr>
              <w:rFonts w:ascii="Constantia" w:eastAsia="Constantia" w:hAnsi="Constantia" w:cs="Constantia"/>
              <w:b/>
              <w:noProof/>
              <w:color w:val="000000"/>
              <w:sz w:val="20"/>
              <w:szCs w:val="20"/>
            </w:rPr>
            <w:drawing>
              <wp:inline distT="0" distB="0" distL="0" distR="0">
                <wp:extent cx="699770" cy="262255"/>
                <wp:effectExtent l="0" t="0" r="0" b="0"/>
                <wp:docPr id="59" name="image4.png" descr="88x31"/>
                <wp:cNvGraphicFramePr/>
                <a:graphic xmlns:a="http://schemas.openxmlformats.org/drawingml/2006/main">
                  <a:graphicData uri="http://schemas.openxmlformats.org/drawingml/2006/picture">
                    <pic:pic xmlns:pic="http://schemas.openxmlformats.org/drawingml/2006/picture">
                      <pic:nvPicPr>
                        <pic:cNvPr id="0" name="image4.png" descr="88x31"/>
                        <pic:cNvPicPr preferRelativeResize="0"/>
                      </pic:nvPicPr>
                      <pic:blipFill>
                        <a:blip r:embed="rId1"/>
                        <a:srcRect/>
                        <a:stretch>
                          <a:fillRect/>
                        </a:stretch>
                      </pic:blipFill>
                      <pic:spPr>
                        <a:xfrm>
                          <a:off x="0" y="0"/>
                          <a:ext cx="699770" cy="262255"/>
                        </a:xfrm>
                        <a:prstGeom prst="rect">
                          <a:avLst/>
                        </a:prstGeom>
                        <a:ln/>
                      </pic:spPr>
                    </pic:pic>
                  </a:graphicData>
                </a:graphic>
              </wp:inline>
            </w:drawing>
          </w:r>
        </w:p>
      </w:tc>
      <w:tc>
        <w:tcPr>
          <w:tcW w:w="7830" w:type="dxa"/>
        </w:tcPr>
        <w:p w:rsidR="00A91243" w:rsidRDefault="00D03476">
          <w:pPr>
            <w:pBdr>
              <w:top w:val="nil"/>
              <w:left w:val="nil"/>
              <w:bottom w:val="nil"/>
              <w:right w:val="nil"/>
              <w:between w:val="nil"/>
            </w:pBd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highlight w:val="white"/>
            </w:rPr>
            <w:t>This work is licensed under a </w:t>
          </w:r>
          <w:hyperlink r:id="rId2">
            <w:r>
              <w:rPr>
                <w:rFonts w:ascii="Constantia" w:eastAsia="Constantia" w:hAnsi="Constantia" w:cs="Constantia"/>
                <w:i/>
                <w:color w:val="4472C4"/>
                <w:sz w:val="18"/>
                <w:szCs w:val="18"/>
                <w:highlight w:val="white"/>
                <w:u w:val="single"/>
              </w:rPr>
              <w:t>Creative Commons Attribution-</w:t>
            </w:r>
            <w:proofErr w:type="spellStart"/>
            <w:r>
              <w:rPr>
                <w:rFonts w:ascii="Constantia" w:eastAsia="Constantia" w:hAnsi="Constantia" w:cs="Constantia"/>
                <w:i/>
                <w:color w:val="4472C4"/>
                <w:sz w:val="18"/>
                <w:szCs w:val="18"/>
                <w:highlight w:val="white"/>
                <w:u w:val="single"/>
              </w:rPr>
              <w:t>ShareAlike</w:t>
            </w:r>
            <w:proofErr w:type="spellEnd"/>
            <w:r>
              <w:rPr>
                <w:rFonts w:ascii="Constantia" w:eastAsia="Constantia" w:hAnsi="Constantia" w:cs="Constantia"/>
                <w:i/>
                <w:color w:val="4472C4"/>
                <w:sz w:val="18"/>
                <w:szCs w:val="18"/>
                <w:highlight w:val="white"/>
                <w:u w:val="single"/>
              </w:rPr>
              <w:t xml:space="preserve"> 4.0 International License</w:t>
            </w:r>
          </w:hyperlink>
          <w:r>
            <w:rPr>
              <w:rFonts w:ascii="Constantia" w:eastAsia="Constantia" w:hAnsi="Constantia" w:cs="Constantia"/>
              <w:color w:val="4472C4"/>
              <w:sz w:val="20"/>
              <w:szCs w:val="20"/>
            </w:rPr>
            <w:t>.</w:t>
          </w:r>
          <w:r>
            <w:rPr>
              <w:rFonts w:ascii="Constantia" w:eastAsia="Constantia" w:hAnsi="Constantia" w:cs="Constantia"/>
              <w:color w:val="000000"/>
              <w:sz w:val="20"/>
              <w:szCs w:val="20"/>
            </w:rPr>
            <w:t xml:space="preserve"> A</w:t>
          </w:r>
          <w:r>
            <w:rPr>
              <w:rFonts w:ascii="Constantia" w:eastAsia="Constantia" w:hAnsi="Constantia" w:cs="Constantia"/>
              <w:color w:val="000000"/>
              <w:sz w:val="20"/>
              <w:szCs w:val="20"/>
              <w:highlight w:val="white"/>
            </w:rPr>
            <w:t xml:space="preserve">llows readers to read, download, copy, distribute, print, search, or link to the full texts of its articles and allow readers to use them for any other lawful purpose. The journal </w:t>
          </w:r>
          <w:proofErr w:type="gramStart"/>
          <w:r>
            <w:rPr>
              <w:rFonts w:ascii="Constantia" w:eastAsia="Constantia" w:hAnsi="Constantia" w:cs="Constantia"/>
              <w:color w:val="000000"/>
              <w:sz w:val="20"/>
              <w:szCs w:val="20"/>
              <w:highlight w:val="white"/>
            </w:rPr>
            <w:t>hold</w:t>
          </w:r>
          <w:proofErr w:type="gramEnd"/>
          <w:r>
            <w:rPr>
              <w:rFonts w:ascii="Constantia" w:eastAsia="Constantia" w:hAnsi="Constantia" w:cs="Constantia"/>
              <w:color w:val="000000"/>
              <w:sz w:val="20"/>
              <w:szCs w:val="20"/>
              <w:highlight w:val="white"/>
            </w:rPr>
            <w:t xml:space="preserve"> the copyright.</w:t>
          </w:r>
        </w:p>
      </w:tc>
    </w:tr>
  </w:tbl>
  <w:p w:rsidR="00A91243" w:rsidRDefault="00A91243">
    <w:pPr>
      <w:pBdr>
        <w:top w:val="nil"/>
        <w:left w:val="nil"/>
        <w:bottom w:val="nil"/>
        <w:right w:val="nil"/>
        <w:between w:val="nil"/>
      </w:pBdr>
      <w:tabs>
        <w:tab w:val="center" w:pos="4513"/>
        <w:tab w:val="right" w:pos="9026"/>
      </w:tabs>
      <w:spacing w:after="0" w:line="240" w:lineRule="auto"/>
      <w:rPr>
        <w:rFonts w:eastAsia="Bookman Old Style" w:cs="Bookman Old Styl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5719" w:rsidRDefault="00855719">
      <w:pPr>
        <w:spacing w:after="0" w:line="240" w:lineRule="auto"/>
      </w:pPr>
      <w:r>
        <w:separator/>
      </w:r>
    </w:p>
  </w:footnote>
  <w:footnote w:type="continuationSeparator" w:id="0">
    <w:p w:rsidR="00855719" w:rsidRDefault="008557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243" w:rsidRDefault="00A91243">
    <w:pPr>
      <w:widowControl w:val="0"/>
      <w:pBdr>
        <w:top w:val="nil"/>
        <w:left w:val="nil"/>
        <w:bottom w:val="nil"/>
        <w:right w:val="nil"/>
        <w:between w:val="nil"/>
      </w:pBdr>
      <w:spacing w:after="0" w:line="276" w:lineRule="auto"/>
      <w:rPr>
        <w:rFonts w:eastAsia="Bookman Old Style" w:cs="Bookman Old Style"/>
        <w:color w:val="000000"/>
      </w:rPr>
    </w:pPr>
  </w:p>
  <w:tbl>
    <w:tblPr>
      <w:tblStyle w:val="a2"/>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2"/>
    </w:tblGrid>
    <w:tr w:rsidR="00A91243">
      <w:tc>
        <w:tcPr>
          <w:tcW w:w="9072" w:type="dxa"/>
          <w:tcBorders>
            <w:top w:val="nil"/>
            <w:left w:val="nil"/>
            <w:bottom w:val="single" w:sz="8" w:space="0" w:color="000000"/>
            <w:right w:val="nil"/>
          </w:tcBorders>
        </w:tcPr>
        <w:p w:rsidR="00A91243" w:rsidRDefault="00D03476">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olor w:val="000000"/>
              <w:sz w:val="8"/>
              <w:szCs w:val="8"/>
            </w:rPr>
          </w:pPr>
          <w:r>
            <w:rPr>
              <w:rFonts w:ascii="Times New Roman" w:eastAsia="Times New Roman" w:hAnsi="Times New Roman"/>
              <w:color w:val="000000"/>
              <w:sz w:val="8"/>
              <w:szCs w:val="8"/>
            </w:rPr>
            <w:t>JURNAL PENELITIAN PENDIDIKAN PANCASILA DAN KEWARGANEGARAAN</w:t>
          </w:r>
        </w:p>
        <w:p w:rsidR="00A91243" w:rsidRDefault="00D03476">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olor w:val="000000"/>
              <w:sz w:val="8"/>
              <w:szCs w:val="8"/>
            </w:rPr>
          </w:pPr>
          <w:r>
            <w:rPr>
              <w:rFonts w:ascii="Times New Roman" w:eastAsia="Times New Roman" w:hAnsi="Times New Roman"/>
              <w:color w:val="000000"/>
              <w:sz w:val="8"/>
              <w:szCs w:val="8"/>
            </w:rPr>
            <w:t>VOL.X, NO.X, BULAN 2020</w:t>
          </w:r>
        </w:p>
        <w:p w:rsidR="00A91243" w:rsidRDefault="00D03476">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olor w:val="000000"/>
              <w:sz w:val="8"/>
              <w:szCs w:val="8"/>
            </w:rPr>
          </w:pPr>
          <w:r>
            <w:rPr>
              <w:rFonts w:ascii="Times New Roman" w:eastAsia="Times New Roman" w:hAnsi="Times New Roman"/>
              <w:color w:val="000000"/>
              <w:sz w:val="8"/>
              <w:szCs w:val="8"/>
            </w:rPr>
            <w:t>Hal. xx-xx</w:t>
          </w:r>
        </w:p>
      </w:tc>
    </w:tr>
  </w:tbl>
  <w:p w:rsidR="00A91243" w:rsidRDefault="00A91243">
    <w:pPr>
      <w:pBdr>
        <w:top w:val="nil"/>
        <w:left w:val="nil"/>
        <w:bottom w:val="nil"/>
        <w:right w:val="nil"/>
        <w:between w:val="nil"/>
      </w:pBdr>
      <w:tabs>
        <w:tab w:val="center" w:pos="4513"/>
        <w:tab w:val="right" w:pos="9026"/>
      </w:tabs>
      <w:spacing w:after="0" w:line="240" w:lineRule="auto"/>
      <w:rPr>
        <w:rFonts w:ascii="Rosarivo" w:eastAsia="Rosarivo" w:hAnsi="Rosarivo" w:cs="Rosarivo"/>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243" w:rsidRDefault="00A91243" w:rsidP="002C6091">
    <w:pPr>
      <w:pBdr>
        <w:top w:val="nil"/>
        <w:left w:val="nil"/>
        <w:bottom w:val="nil"/>
        <w:right w:val="nil"/>
        <w:between w:val="nil"/>
      </w:pBdr>
      <w:tabs>
        <w:tab w:val="center" w:pos="4513"/>
        <w:tab w:val="right" w:pos="9026"/>
      </w:tabs>
      <w:spacing w:after="0" w:line="240" w:lineRule="auto"/>
      <w:rPr>
        <w:rFonts w:eastAsia="Bookman Old Style" w:cs="Bookman Old Style"/>
        <w:color w:val="000000"/>
      </w:rPr>
    </w:pPr>
  </w:p>
  <w:tbl>
    <w:tblPr>
      <w:tblStyle w:val="a1"/>
      <w:tblW w:w="9072" w:type="dxa"/>
      <w:tblBorders>
        <w:top w:val="nil"/>
        <w:left w:val="nil"/>
        <w:bottom w:val="single" w:sz="12" w:space="0" w:color="808080"/>
        <w:right w:val="nil"/>
        <w:insideH w:val="nil"/>
        <w:insideV w:val="nil"/>
      </w:tblBorders>
      <w:tblLayout w:type="fixed"/>
      <w:tblLook w:val="0400" w:firstRow="0" w:lastRow="0" w:firstColumn="0" w:lastColumn="0" w:noHBand="0" w:noVBand="1"/>
    </w:tblPr>
    <w:tblGrid>
      <w:gridCol w:w="9072"/>
    </w:tblGrid>
    <w:tr w:rsidR="00A91243">
      <w:tc>
        <w:tcPr>
          <w:tcW w:w="9072" w:type="dxa"/>
          <w:tcBorders>
            <w:bottom w:val="single" w:sz="12" w:space="0" w:color="C00000"/>
          </w:tcBorders>
        </w:tcPr>
        <w:p w:rsidR="00A91243" w:rsidRDefault="00854147">
          <w:pPr>
            <w:pBdr>
              <w:top w:val="nil"/>
              <w:left w:val="nil"/>
              <w:bottom w:val="nil"/>
              <w:right w:val="nil"/>
              <w:between w:val="nil"/>
            </w:pBdr>
            <w:tabs>
              <w:tab w:val="center" w:pos="4513"/>
              <w:tab w:val="right" w:pos="9026"/>
            </w:tabs>
            <w:ind w:right="-274"/>
            <w:jc w:val="center"/>
            <w:rPr>
              <w:rFonts w:ascii="Times New Roman" w:eastAsia="Times New Roman" w:hAnsi="Times New Roman"/>
              <w:color w:val="000000"/>
              <w:sz w:val="16"/>
              <w:szCs w:val="16"/>
            </w:rPr>
          </w:pPr>
          <w:r>
            <w:rPr>
              <w:rFonts w:ascii="Times New Roman" w:eastAsia="Times New Roman" w:hAnsi="Times New Roman"/>
              <w:color w:val="000000"/>
              <w:sz w:val="16"/>
              <w:szCs w:val="16"/>
            </w:rPr>
            <w:t>Journal of Civics and Moral Studies</w:t>
          </w:r>
          <w:r w:rsidR="00C822CB">
            <w:rPr>
              <w:rFonts w:ascii="Times New Roman" w:eastAsia="Times New Roman" w:hAnsi="Times New Roman"/>
              <w:color w:val="000000"/>
              <w:sz w:val="16"/>
              <w:szCs w:val="16"/>
            </w:rPr>
            <w:t xml:space="preserve">, </w:t>
          </w:r>
          <w:r w:rsidR="00137F8F">
            <w:rPr>
              <w:rFonts w:ascii="Times New Roman" w:eastAsia="Times New Roman" w:hAnsi="Times New Roman"/>
              <w:color w:val="000000"/>
              <w:sz w:val="16"/>
              <w:szCs w:val="16"/>
            </w:rPr>
            <w:t>9</w:t>
          </w:r>
          <w:r w:rsidR="00D03476">
            <w:rPr>
              <w:rFonts w:ascii="Times New Roman" w:eastAsia="Times New Roman" w:hAnsi="Times New Roman"/>
              <w:color w:val="000000"/>
              <w:sz w:val="16"/>
              <w:szCs w:val="16"/>
            </w:rPr>
            <w:t xml:space="preserve"> (</w:t>
          </w:r>
          <w:r w:rsidR="006E3708">
            <w:rPr>
              <w:rFonts w:ascii="Times New Roman" w:eastAsia="Times New Roman" w:hAnsi="Times New Roman"/>
              <w:color w:val="000000"/>
              <w:sz w:val="16"/>
              <w:szCs w:val="16"/>
            </w:rPr>
            <w:t>2</w:t>
          </w:r>
          <w:r w:rsidR="00D03476">
            <w:rPr>
              <w:rFonts w:ascii="Times New Roman" w:eastAsia="Times New Roman" w:hAnsi="Times New Roman"/>
              <w:color w:val="000000"/>
              <w:sz w:val="16"/>
              <w:szCs w:val="16"/>
            </w:rPr>
            <w:t>) 202</w:t>
          </w:r>
          <w:r w:rsidR="006E3708">
            <w:rPr>
              <w:rFonts w:ascii="Times New Roman" w:eastAsia="Times New Roman" w:hAnsi="Times New Roman"/>
              <w:color w:val="000000"/>
              <w:sz w:val="16"/>
              <w:szCs w:val="16"/>
            </w:rPr>
            <w:t>4</w:t>
          </w:r>
          <w:r w:rsidR="00D03476">
            <w:rPr>
              <w:rFonts w:ascii="Times New Roman" w:eastAsia="Times New Roman" w:hAnsi="Times New Roman"/>
              <w:color w:val="000000"/>
              <w:sz w:val="16"/>
              <w:szCs w:val="16"/>
            </w:rPr>
            <w:t xml:space="preserve">  </w:t>
          </w:r>
          <w:r w:rsidR="00AD20D6">
            <w:rPr>
              <w:rFonts w:ascii="Times New Roman" w:eastAsia="Times New Roman" w:hAnsi="Times New Roman"/>
              <w:color w:val="000000"/>
              <w:sz w:val="16"/>
              <w:szCs w:val="16"/>
            </w:rPr>
            <w:t>Page</w:t>
          </w:r>
          <w:r w:rsidR="006E3708">
            <w:rPr>
              <w:rFonts w:ascii="Times New Roman" w:eastAsia="Times New Roman" w:hAnsi="Times New Roman"/>
              <w:color w:val="000000"/>
              <w:sz w:val="16"/>
              <w:szCs w:val="16"/>
            </w:rPr>
            <w:t xml:space="preserve"> </w:t>
          </w:r>
          <w:r w:rsidR="00D604FA">
            <w:rPr>
              <w:rFonts w:ascii="Times New Roman" w:eastAsia="Times New Roman" w:hAnsi="Times New Roman"/>
              <w:color w:val="000000"/>
              <w:sz w:val="16"/>
              <w:szCs w:val="16"/>
            </w:rPr>
            <w:t>76</w:t>
          </w:r>
          <w:r w:rsidR="00D03476">
            <w:rPr>
              <w:rFonts w:ascii="Times New Roman" w:eastAsia="Times New Roman" w:hAnsi="Times New Roman"/>
              <w:color w:val="000000"/>
              <w:sz w:val="16"/>
              <w:szCs w:val="16"/>
            </w:rPr>
            <w:t xml:space="preserve"> - </w:t>
          </w:r>
          <w:r w:rsidR="00D604FA">
            <w:rPr>
              <w:rFonts w:ascii="Times New Roman" w:eastAsia="Times New Roman" w:hAnsi="Times New Roman"/>
              <w:color w:val="000000"/>
              <w:sz w:val="16"/>
              <w:szCs w:val="16"/>
            </w:rPr>
            <w:t>83</w:t>
          </w:r>
        </w:p>
        <w:p w:rsidR="00CB0BBF" w:rsidRDefault="00D84020" w:rsidP="00AD20D6">
          <w:pPr>
            <w:ind w:right="-274"/>
            <w:jc w:val="center"/>
            <w:rPr>
              <w:rFonts w:ascii="Times New Roman" w:eastAsia="Times New Roman" w:hAnsi="Times New Roman"/>
              <w:color w:val="000000"/>
              <w:sz w:val="16"/>
              <w:szCs w:val="16"/>
            </w:rPr>
          </w:pPr>
          <w:r w:rsidRPr="00D84020">
            <w:rPr>
              <w:rFonts w:ascii="Times New Roman" w:eastAsia="Times New Roman" w:hAnsi="Times New Roman"/>
              <w:color w:val="000000"/>
              <w:sz w:val="16"/>
              <w:szCs w:val="16"/>
            </w:rPr>
            <w:t>Global Citizenship Education: Urgency and Strategy Forming Inclusive Global Citizen.</w:t>
          </w:r>
        </w:p>
        <w:p w:rsidR="00A91243" w:rsidRDefault="00D84020" w:rsidP="00AD20D6">
          <w:pPr>
            <w:ind w:right="-274"/>
            <w:jc w:val="center"/>
            <w:rPr>
              <w:rFonts w:ascii="Times New Roman" w:eastAsia="Times New Roman" w:hAnsi="Times New Roman"/>
              <w:sz w:val="16"/>
              <w:szCs w:val="16"/>
            </w:rPr>
          </w:pPr>
          <w:r>
            <w:rPr>
              <w:rFonts w:ascii="Times New Roman" w:eastAsia="Times New Roman" w:hAnsi="Times New Roman"/>
              <w:color w:val="000000"/>
              <w:sz w:val="16"/>
              <w:szCs w:val="16"/>
            </w:rPr>
            <w:t>Fitria Anjar Sari</w:t>
          </w:r>
        </w:p>
      </w:tc>
    </w:tr>
  </w:tbl>
  <w:p w:rsidR="00A91243" w:rsidRDefault="00A91243">
    <w:pPr>
      <w:pBdr>
        <w:top w:val="nil"/>
        <w:left w:val="nil"/>
        <w:bottom w:val="nil"/>
        <w:right w:val="nil"/>
        <w:between w:val="nil"/>
      </w:pBdr>
      <w:tabs>
        <w:tab w:val="center" w:pos="4513"/>
        <w:tab w:val="right" w:pos="9026"/>
      </w:tabs>
      <w:spacing w:after="0" w:line="240" w:lineRule="auto"/>
      <w:ind w:left="-142"/>
      <w:rPr>
        <w:rFonts w:eastAsia="Bookman Old Style" w:cs="Bookman Old Style"/>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243" w:rsidRDefault="005B4E4B">
    <w:pPr>
      <w:pBdr>
        <w:top w:val="nil"/>
        <w:left w:val="nil"/>
        <w:bottom w:val="nil"/>
        <w:right w:val="nil"/>
        <w:between w:val="nil"/>
      </w:pBdr>
      <w:tabs>
        <w:tab w:val="center" w:pos="4513"/>
        <w:tab w:val="right" w:pos="9026"/>
      </w:tabs>
      <w:spacing w:before="240" w:after="0" w:line="240" w:lineRule="auto"/>
      <w:jc w:val="center"/>
      <w:rPr>
        <w:rFonts w:ascii="Constantia" w:eastAsia="Constantia" w:hAnsi="Constantia" w:cs="Constantia"/>
        <w:b/>
        <w:color w:val="000000"/>
      </w:rPr>
    </w:pPr>
    <w:bookmarkStart w:id="4" w:name="_heading=h.tyjcwt" w:colFirst="0" w:colLast="0"/>
    <w:bookmarkEnd w:id="4"/>
    <w:r w:rsidRPr="005B4E4B">
      <w:rPr>
        <w:rFonts w:ascii="Constantia" w:eastAsia="Constantia" w:hAnsi="Constantia" w:cs="Constantia"/>
        <w:b/>
        <w:noProof/>
        <w:color w:val="000000"/>
        <w:sz w:val="32"/>
        <w:szCs w:val="32"/>
      </w:rPr>
      <w:drawing>
        <wp:anchor distT="0" distB="0" distL="114300" distR="114300" simplePos="0" relativeHeight="251663360" behindDoc="1" locked="0" layoutInCell="1" allowOverlap="1" wp14:anchorId="16C64664" wp14:editId="698BEE30">
          <wp:simplePos x="0" y="0"/>
          <wp:positionH relativeFrom="column">
            <wp:posOffset>-388800</wp:posOffset>
          </wp:positionH>
          <wp:positionV relativeFrom="paragraph">
            <wp:posOffset>170815</wp:posOffset>
          </wp:positionV>
          <wp:extent cx="6679565" cy="682625"/>
          <wp:effectExtent l="0" t="0" r="63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6648" t="16940" r="3944" b="72030"/>
                  <a:stretch/>
                </pic:blipFill>
                <pic:spPr bwMode="auto">
                  <a:xfrm>
                    <a:off x="0" y="0"/>
                    <a:ext cx="6679565" cy="682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B4E4B">
      <w:rPr>
        <w:noProof/>
      </w:rPr>
      <w:t xml:space="preserve"> </w:t>
    </w:r>
  </w:p>
  <w:p w:rsidR="00A91243" w:rsidRDefault="006621CA" w:rsidP="006E3708">
    <w:pPr>
      <w:pBdr>
        <w:top w:val="nil"/>
        <w:left w:val="nil"/>
        <w:bottom w:val="nil"/>
        <w:right w:val="nil"/>
        <w:between w:val="nil"/>
      </w:pBdr>
      <w:tabs>
        <w:tab w:val="left" w:pos="3060"/>
        <w:tab w:val="left" w:pos="3420"/>
        <w:tab w:val="center" w:pos="4513"/>
        <w:tab w:val="right" w:pos="9026"/>
      </w:tabs>
      <w:spacing w:after="0" w:line="360" w:lineRule="auto"/>
      <w:jc w:val="center"/>
      <w:rPr>
        <w:rFonts w:ascii="Constantia" w:eastAsia="Constantia" w:hAnsi="Constantia" w:cs="Constantia"/>
        <w:b/>
        <w:color w:val="000000"/>
        <w:sz w:val="22"/>
        <w:szCs w:val="22"/>
      </w:rPr>
    </w:pPr>
    <w:r>
      <w:rPr>
        <w:rFonts w:ascii="Constantia" w:eastAsia="Constantia" w:hAnsi="Constantia" w:cs="Constantia"/>
        <w:b/>
        <w:color w:val="000000"/>
      </w:rPr>
      <w:t xml:space="preserve">          </w:t>
    </w:r>
    <w:r w:rsidR="006E3708">
      <w:rPr>
        <w:rFonts w:ascii="Constantia" w:eastAsia="Constantia" w:hAnsi="Constantia" w:cs="Constantia"/>
        <w:b/>
        <w:color w:val="000000"/>
      </w:rPr>
      <w:tab/>
    </w:r>
    <w:r w:rsidR="006E3708">
      <w:rPr>
        <w:rFonts w:ascii="Constantia" w:eastAsia="Constantia" w:hAnsi="Constantia" w:cs="Constantia"/>
        <w:b/>
        <w:color w:val="000000"/>
      </w:rPr>
      <w:tab/>
    </w:r>
    <w:r w:rsidR="00C822CB">
      <w:rPr>
        <w:rFonts w:ascii="Constantia" w:eastAsia="Constantia" w:hAnsi="Constantia" w:cs="Constantia"/>
        <w:b/>
        <w:color w:val="000000"/>
      </w:rPr>
      <w:t xml:space="preserve">Vol. </w:t>
    </w:r>
    <w:r w:rsidR="00137F8F">
      <w:rPr>
        <w:rFonts w:ascii="Constantia" w:eastAsia="Constantia" w:hAnsi="Constantia" w:cs="Constantia"/>
        <w:b/>
        <w:color w:val="000000"/>
      </w:rPr>
      <w:t>9</w:t>
    </w:r>
    <w:r w:rsidR="00AC531D">
      <w:rPr>
        <w:rFonts w:ascii="Constantia" w:eastAsia="Constantia" w:hAnsi="Constantia" w:cs="Constantia"/>
        <w:b/>
        <w:color w:val="000000"/>
      </w:rPr>
      <w:t xml:space="preserve"> No. </w:t>
    </w:r>
    <w:r w:rsidR="006E3708">
      <w:rPr>
        <w:rFonts w:ascii="Constantia" w:eastAsia="Constantia" w:hAnsi="Constantia" w:cs="Constantia"/>
        <w:b/>
        <w:color w:val="000000"/>
      </w:rPr>
      <w:t>2</w:t>
    </w:r>
    <w:r w:rsidR="00AC531D">
      <w:rPr>
        <w:rFonts w:ascii="Constantia" w:eastAsia="Constantia" w:hAnsi="Constantia" w:cs="Constantia"/>
        <w:b/>
        <w:color w:val="000000"/>
      </w:rPr>
      <w:t xml:space="preserve"> </w:t>
    </w:r>
    <w:r w:rsidR="006E3708">
      <w:rPr>
        <w:rFonts w:ascii="Constantia" w:eastAsia="Constantia" w:hAnsi="Constantia" w:cs="Constantia"/>
        <w:b/>
        <w:color w:val="000000"/>
      </w:rPr>
      <w:t>December</w:t>
    </w:r>
    <w:r w:rsidR="00AC531D">
      <w:rPr>
        <w:rFonts w:ascii="Constantia" w:eastAsia="Constantia" w:hAnsi="Constantia" w:cs="Constantia"/>
        <w:b/>
        <w:color w:val="000000"/>
      </w:rPr>
      <w:t xml:space="preserve"> 202</w:t>
    </w:r>
    <w:r w:rsidR="006E3708">
      <w:rPr>
        <w:rFonts w:ascii="Constantia" w:eastAsia="Constantia" w:hAnsi="Constantia" w:cs="Constantia"/>
        <w:b/>
        <w:color w:val="000000"/>
      </w:rPr>
      <w:t>4</w:t>
    </w:r>
    <w:r>
      <w:rPr>
        <w:rFonts w:ascii="Constantia" w:eastAsia="Constantia" w:hAnsi="Constantia" w:cs="Constantia"/>
        <w:b/>
        <w:color w:val="000000"/>
      </w:rPr>
      <w:t>| Page</w:t>
    </w:r>
    <w:r w:rsidR="00D03476">
      <w:rPr>
        <w:rFonts w:ascii="Constantia" w:eastAsia="Constantia" w:hAnsi="Constantia" w:cs="Constantia"/>
        <w:b/>
        <w:color w:val="000000"/>
      </w:rPr>
      <w:t xml:space="preserve"> </w:t>
    </w:r>
    <w:r w:rsidR="00D604FA">
      <w:rPr>
        <w:rFonts w:ascii="Constantia" w:eastAsia="Constantia" w:hAnsi="Constantia" w:cs="Constantia"/>
        <w:b/>
        <w:color w:val="000000"/>
      </w:rPr>
      <w:t>76</w:t>
    </w:r>
    <w:r w:rsidR="00D03476">
      <w:rPr>
        <w:rFonts w:ascii="Constantia" w:eastAsia="Constantia" w:hAnsi="Constantia" w:cs="Constantia"/>
        <w:b/>
        <w:color w:val="000000"/>
      </w:rPr>
      <w:t xml:space="preserve"> – </w:t>
    </w:r>
    <w:r w:rsidR="00D604FA">
      <w:rPr>
        <w:rFonts w:ascii="Constantia" w:eastAsia="Constantia" w:hAnsi="Constantia" w:cs="Constantia"/>
        <w:b/>
        <w:color w:val="000000"/>
      </w:rPr>
      <w:t>83</w:t>
    </w:r>
  </w:p>
  <w:p w:rsidR="00A91243" w:rsidRDefault="00D03476">
    <w:pPr>
      <w:pBdr>
        <w:top w:val="nil"/>
        <w:left w:val="nil"/>
        <w:bottom w:val="nil"/>
        <w:right w:val="nil"/>
        <w:between w:val="nil"/>
      </w:pBdr>
      <w:tabs>
        <w:tab w:val="center" w:pos="4513"/>
        <w:tab w:val="right" w:pos="9026"/>
      </w:tabs>
      <w:spacing w:after="240" w:line="240" w:lineRule="auto"/>
      <w:jc w:val="center"/>
      <w:rPr>
        <w:rFonts w:ascii="Times New Roman" w:eastAsia="Times New Roman" w:hAnsi="Times New Roman"/>
        <w:b/>
        <w:color w:val="000000"/>
        <w:sz w:val="22"/>
        <w:szCs w:val="22"/>
      </w:rPr>
    </w:pPr>
    <w:r>
      <w:rPr>
        <w:rFonts w:ascii="Times New Roman" w:eastAsia="Times New Roman" w:hAnsi="Times New Roman"/>
        <w:b/>
        <w:color w:val="000000"/>
        <w:sz w:val="20"/>
        <w:szCs w:val="20"/>
      </w:rPr>
      <w:t xml:space="preserve">     </w:t>
    </w:r>
    <w:r w:rsidR="006E3708">
      <w:rPr>
        <w:rFonts w:ascii="Times New Roman" w:eastAsia="Times New Roman" w:hAnsi="Times New Roman"/>
        <w:b/>
        <w:color w:val="000000"/>
        <w:sz w:val="20"/>
        <w:szCs w:val="20"/>
      </w:rPr>
      <w:tab/>
    </w:r>
    <w:r>
      <w:rPr>
        <w:rFonts w:ascii="Times New Roman" w:eastAsia="Times New Roman" w:hAnsi="Times New Roman"/>
        <w:b/>
        <w:color w:val="000000"/>
        <w:sz w:val="20"/>
        <w:szCs w:val="20"/>
      </w:rPr>
      <w:t xml:space="preserve"> </w:t>
    </w:r>
    <w:r w:rsidR="00AC531D" w:rsidRPr="00AC531D">
      <w:rPr>
        <w:rFonts w:ascii="Times New Roman" w:eastAsia="Times New Roman" w:hAnsi="Times New Roman"/>
        <w:color w:val="000000"/>
        <w:sz w:val="18"/>
        <w:szCs w:val="18"/>
      </w:rPr>
      <w:t>ISSN : 2615-0808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93538"/>
    <w:multiLevelType w:val="hybridMultilevel"/>
    <w:tmpl w:val="CA36195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C8204A2"/>
    <w:multiLevelType w:val="multilevel"/>
    <w:tmpl w:val="E230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0E3EFA"/>
    <w:multiLevelType w:val="hybridMultilevel"/>
    <w:tmpl w:val="5658EAE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4537692">
    <w:abstractNumId w:val="1"/>
  </w:num>
  <w:num w:numId="2" w16cid:durableId="879250082">
    <w:abstractNumId w:val="0"/>
  </w:num>
  <w:num w:numId="3" w16cid:durableId="5700483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243"/>
    <w:rsid w:val="00024473"/>
    <w:rsid w:val="000673E4"/>
    <w:rsid w:val="00111B27"/>
    <w:rsid w:val="00115886"/>
    <w:rsid w:val="00134808"/>
    <w:rsid w:val="00137F8F"/>
    <w:rsid w:val="001A1F78"/>
    <w:rsid w:val="00220A3E"/>
    <w:rsid w:val="00244D14"/>
    <w:rsid w:val="00296ECA"/>
    <w:rsid w:val="002C6091"/>
    <w:rsid w:val="002E460D"/>
    <w:rsid w:val="002F1915"/>
    <w:rsid w:val="00314F3A"/>
    <w:rsid w:val="0043098E"/>
    <w:rsid w:val="00465B26"/>
    <w:rsid w:val="004A5EE9"/>
    <w:rsid w:val="004B6B4F"/>
    <w:rsid w:val="004D4ED4"/>
    <w:rsid w:val="00574BDC"/>
    <w:rsid w:val="00582F52"/>
    <w:rsid w:val="005B4E4B"/>
    <w:rsid w:val="00624B38"/>
    <w:rsid w:val="00651EF9"/>
    <w:rsid w:val="00660D20"/>
    <w:rsid w:val="006621CA"/>
    <w:rsid w:val="00696EB2"/>
    <w:rsid w:val="006E3708"/>
    <w:rsid w:val="00854147"/>
    <w:rsid w:val="00855719"/>
    <w:rsid w:val="00860148"/>
    <w:rsid w:val="008A2EB5"/>
    <w:rsid w:val="008E5771"/>
    <w:rsid w:val="00910023"/>
    <w:rsid w:val="009166F6"/>
    <w:rsid w:val="009259D9"/>
    <w:rsid w:val="00A91243"/>
    <w:rsid w:val="00AA1B68"/>
    <w:rsid w:val="00AC531D"/>
    <w:rsid w:val="00AD20D6"/>
    <w:rsid w:val="00AE46E2"/>
    <w:rsid w:val="00B254AB"/>
    <w:rsid w:val="00B43C47"/>
    <w:rsid w:val="00C4185A"/>
    <w:rsid w:val="00C43F04"/>
    <w:rsid w:val="00C822CB"/>
    <w:rsid w:val="00C85082"/>
    <w:rsid w:val="00C86C4E"/>
    <w:rsid w:val="00CB0BBF"/>
    <w:rsid w:val="00CC12F4"/>
    <w:rsid w:val="00CE7923"/>
    <w:rsid w:val="00D03476"/>
    <w:rsid w:val="00D604FA"/>
    <w:rsid w:val="00D84020"/>
    <w:rsid w:val="00E05AE5"/>
    <w:rsid w:val="00EB6CFB"/>
    <w:rsid w:val="00F147F6"/>
    <w:rsid w:val="00F22F15"/>
    <w:rsid w:val="00FC7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85CE5"/>
  <w15:docId w15:val="{8A3D787B-7F06-40CF-AAB4-D435FDBD7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man Old Style" w:eastAsia="Bookman Old Style" w:hAnsi="Bookman Old Style" w:cs="Bookman Old Style"/>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857A0"/>
    <w:rPr>
      <w:rFonts w:eastAsia="Calibri" w:cs="Times New Roman"/>
    </w:rPr>
  </w:style>
  <w:style w:type="paragraph" w:styleId="Heading1">
    <w:name w:val="heading 1"/>
    <w:basedOn w:val="Normal"/>
    <w:next w:val="Normal"/>
    <w:link w:val="Heading1Char"/>
    <w:uiPriority w:val="9"/>
    <w:qFormat/>
    <w:rsid w:val="00036A90"/>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bidi="en-US"/>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2857A0"/>
    <w:pPr>
      <w:tabs>
        <w:tab w:val="center" w:pos="4513"/>
        <w:tab w:val="right" w:pos="9026"/>
      </w:tabs>
      <w:spacing w:after="0" w:line="240" w:lineRule="auto"/>
    </w:pPr>
    <w:rPr>
      <w:szCs w:val="20"/>
    </w:rPr>
  </w:style>
  <w:style w:type="character" w:customStyle="1" w:styleId="HeaderChar">
    <w:name w:val="Header Char"/>
    <w:basedOn w:val="DefaultParagraphFont"/>
    <w:link w:val="Header"/>
    <w:uiPriority w:val="99"/>
    <w:rsid w:val="002857A0"/>
    <w:rPr>
      <w:rFonts w:ascii="Bookman Old Style" w:eastAsia="Calibri" w:hAnsi="Bookman Old Style" w:cs="Times New Roman"/>
      <w:sz w:val="24"/>
      <w:szCs w:val="20"/>
    </w:rPr>
  </w:style>
  <w:style w:type="paragraph" w:styleId="Footer">
    <w:name w:val="footer"/>
    <w:basedOn w:val="Normal"/>
    <w:link w:val="FooterChar"/>
    <w:uiPriority w:val="99"/>
    <w:unhideWhenUsed/>
    <w:rsid w:val="002857A0"/>
    <w:pPr>
      <w:tabs>
        <w:tab w:val="center" w:pos="4513"/>
        <w:tab w:val="right" w:pos="9026"/>
      </w:tabs>
      <w:spacing w:after="0" w:line="240" w:lineRule="auto"/>
    </w:pPr>
    <w:rPr>
      <w:szCs w:val="20"/>
    </w:rPr>
  </w:style>
  <w:style w:type="character" w:customStyle="1" w:styleId="FooterChar">
    <w:name w:val="Footer Char"/>
    <w:basedOn w:val="DefaultParagraphFont"/>
    <w:link w:val="Footer"/>
    <w:uiPriority w:val="99"/>
    <w:rsid w:val="002857A0"/>
    <w:rPr>
      <w:rFonts w:ascii="Bookman Old Style" w:eastAsia="Calibri" w:hAnsi="Bookman Old Style" w:cs="Times New Roman"/>
      <w:sz w:val="24"/>
      <w:szCs w:val="20"/>
    </w:rPr>
  </w:style>
  <w:style w:type="paragraph" w:customStyle="1" w:styleId="Headerdepan">
    <w:name w:val="Header depan"/>
    <w:basedOn w:val="Header"/>
    <w:link w:val="HeaderdepanChar"/>
    <w:autoRedefine/>
    <w:qFormat/>
    <w:rsid w:val="00F17E5F"/>
    <w:pPr>
      <w:jc w:val="center"/>
    </w:pPr>
    <w:rPr>
      <w:rFonts w:ascii="Times New Roman" w:hAnsi="Times New Roman"/>
      <w:b/>
      <w:bCs/>
      <w:szCs w:val="24"/>
    </w:rPr>
  </w:style>
  <w:style w:type="character" w:customStyle="1" w:styleId="HeaderdepanChar">
    <w:name w:val="Header depan Char"/>
    <w:link w:val="Headerdepan"/>
    <w:rsid w:val="00F17E5F"/>
    <w:rPr>
      <w:rFonts w:ascii="Times New Roman" w:eastAsia="Calibri" w:hAnsi="Times New Roman" w:cs="Times New Roman"/>
      <w:b/>
      <w:bCs/>
      <w:sz w:val="24"/>
      <w:szCs w:val="24"/>
      <w:lang w:val="en-US"/>
    </w:rPr>
  </w:style>
  <w:style w:type="paragraph" w:customStyle="1" w:styleId="Judul">
    <w:name w:val="Judul"/>
    <w:link w:val="JudulChar"/>
    <w:autoRedefine/>
    <w:qFormat/>
    <w:rsid w:val="00ED4927"/>
    <w:pPr>
      <w:spacing w:before="240" w:after="100" w:afterAutospacing="1" w:line="240" w:lineRule="auto"/>
    </w:pPr>
    <w:rPr>
      <w:rFonts w:ascii="Times New Roman" w:eastAsia="Times New Roman" w:hAnsi="Times New Roman" w:cs="Times New Roman"/>
      <w:b/>
      <w:bCs/>
      <w:kern w:val="32"/>
      <w:sz w:val="28"/>
      <w:szCs w:val="32"/>
    </w:rPr>
  </w:style>
  <w:style w:type="paragraph" w:customStyle="1" w:styleId="Author">
    <w:name w:val="Author"/>
    <w:link w:val="AuthorChar"/>
    <w:autoRedefine/>
    <w:qFormat/>
    <w:rsid w:val="002857A0"/>
    <w:pPr>
      <w:spacing w:after="120" w:line="240" w:lineRule="auto"/>
    </w:pPr>
    <w:rPr>
      <w:rFonts w:ascii="Times New Roman" w:eastAsia="Times New Roman" w:hAnsi="Times New Roman" w:cs="Times New Roman"/>
      <w:b/>
      <w:bCs/>
      <w:kern w:val="32"/>
      <w:szCs w:val="32"/>
      <w:lang w:eastAsia="id-ID"/>
    </w:rPr>
  </w:style>
  <w:style w:type="character" w:customStyle="1" w:styleId="JudulChar">
    <w:name w:val="Judul Char"/>
    <w:link w:val="Judul"/>
    <w:rsid w:val="00ED4927"/>
    <w:rPr>
      <w:rFonts w:ascii="Times New Roman" w:eastAsia="Times New Roman" w:hAnsi="Times New Roman" w:cs="Times New Roman"/>
      <w:b/>
      <w:bCs/>
      <w:kern w:val="32"/>
      <w:sz w:val="28"/>
      <w:szCs w:val="32"/>
      <w:lang w:val="en-US"/>
    </w:rPr>
  </w:style>
  <w:style w:type="paragraph" w:customStyle="1" w:styleId="Affiliasi">
    <w:name w:val="Affiliasi"/>
    <w:link w:val="AffiliasiChar"/>
    <w:autoRedefine/>
    <w:qFormat/>
    <w:rsid w:val="00310E31"/>
    <w:pPr>
      <w:spacing w:after="0" w:line="240" w:lineRule="auto"/>
    </w:pPr>
    <w:rPr>
      <w:rFonts w:ascii="Constantia" w:eastAsia="Times New Roman" w:hAnsi="Constantia" w:cs="Times New Roman"/>
      <w:b/>
      <w:kern w:val="32"/>
      <w:sz w:val="20"/>
      <w:szCs w:val="32"/>
      <w:lang w:eastAsia="id-ID"/>
    </w:rPr>
  </w:style>
  <w:style w:type="character" w:customStyle="1" w:styleId="AuthorChar">
    <w:name w:val="Author Char"/>
    <w:link w:val="Author"/>
    <w:rsid w:val="002857A0"/>
    <w:rPr>
      <w:rFonts w:ascii="Times New Roman" w:eastAsia="Times New Roman" w:hAnsi="Times New Roman" w:cs="Times New Roman"/>
      <w:b/>
      <w:bCs/>
      <w:kern w:val="32"/>
      <w:szCs w:val="32"/>
      <w:lang w:val="en-US" w:eastAsia="id-ID"/>
    </w:rPr>
  </w:style>
  <w:style w:type="paragraph" w:customStyle="1" w:styleId="Abstrakabstract">
    <w:name w:val="Abstrak (abstract)"/>
    <w:link w:val="AbstrakabstractChar"/>
    <w:autoRedefine/>
    <w:qFormat/>
    <w:rsid w:val="00310E31"/>
    <w:pPr>
      <w:spacing w:after="60" w:line="240" w:lineRule="auto"/>
      <w:jc w:val="both"/>
    </w:pPr>
    <w:rPr>
      <w:rFonts w:ascii="Constantia" w:eastAsia="Times New Roman" w:hAnsi="Constantia" w:cs="Times New Roman"/>
      <w:bCs/>
      <w:kern w:val="32"/>
      <w:sz w:val="18"/>
      <w:szCs w:val="18"/>
      <w:lang w:eastAsia="id-ID"/>
    </w:rPr>
  </w:style>
  <w:style w:type="character" w:customStyle="1" w:styleId="AffiliasiChar">
    <w:name w:val="Affiliasi Char"/>
    <w:link w:val="Affiliasi"/>
    <w:rsid w:val="00310E31"/>
    <w:rPr>
      <w:rFonts w:ascii="Constantia" w:eastAsia="Times New Roman" w:hAnsi="Constantia" w:cs="Times New Roman"/>
      <w:b/>
      <w:kern w:val="32"/>
      <w:sz w:val="20"/>
      <w:szCs w:val="32"/>
      <w:lang w:val="en-US" w:eastAsia="id-ID"/>
    </w:rPr>
  </w:style>
  <w:style w:type="paragraph" w:customStyle="1" w:styleId="keywordkatakunci">
    <w:name w:val="keyword (kata kunci)"/>
    <w:link w:val="keywordkatakunciChar"/>
    <w:autoRedefine/>
    <w:qFormat/>
    <w:rsid w:val="002857A0"/>
    <w:pPr>
      <w:spacing w:after="0" w:line="240" w:lineRule="auto"/>
    </w:pPr>
    <w:rPr>
      <w:rFonts w:ascii="Times New Roman" w:eastAsia="Times New Roman" w:hAnsi="Times New Roman" w:cs="Times New Roman"/>
      <w:bCs/>
      <w:kern w:val="32"/>
      <w:sz w:val="20"/>
      <w:szCs w:val="32"/>
      <w:lang w:eastAsia="id-ID"/>
    </w:rPr>
  </w:style>
  <w:style w:type="character" w:customStyle="1" w:styleId="AbstrakabstractChar">
    <w:name w:val="Abstrak (abstract) Char"/>
    <w:link w:val="Abstrakabstract"/>
    <w:rsid w:val="00310E31"/>
    <w:rPr>
      <w:rFonts w:ascii="Constantia" w:eastAsia="Times New Roman" w:hAnsi="Constantia" w:cs="Times New Roman"/>
      <w:bCs/>
      <w:kern w:val="32"/>
      <w:sz w:val="18"/>
      <w:szCs w:val="18"/>
      <w:lang w:val="en-US" w:eastAsia="id-ID"/>
    </w:rPr>
  </w:style>
  <w:style w:type="paragraph" w:customStyle="1" w:styleId="sejarahartikel">
    <w:name w:val="sejarah artikel"/>
    <w:link w:val="sejarahartikelChar"/>
    <w:autoRedefine/>
    <w:qFormat/>
    <w:rsid w:val="002857A0"/>
    <w:pPr>
      <w:spacing w:after="0" w:line="240" w:lineRule="auto"/>
    </w:pPr>
    <w:rPr>
      <w:rFonts w:ascii="Times New Roman" w:eastAsia="Times New Roman" w:hAnsi="Times New Roman" w:cs="Times New Roman"/>
      <w:bCs/>
      <w:kern w:val="32"/>
      <w:sz w:val="20"/>
      <w:szCs w:val="32"/>
      <w:lang w:eastAsia="id-ID"/>
    </w:rPr>
  </w:style>
  <w:style w:type="character" w:customStyle="1" w:styleId="keywordkatakunciChar">
    <w:name w:val="keyword (kata kunci) Char"/>
    <w:link w:val="keywordkatakunci"/>
    <w:rsid w:val="002857A0"/>
    <w:rPr>
      <w:rFonts w:ascii="Times New Roman" w:eastAsia="Times New Roman" w:hAnsi="Times New Roman" w:cs="Times New Roman"/>
      <w:bCs/>
      <w:kern w:val="32"/>
      <w:sz w:val="20"/>
      <w:szCs w:val="32"/>
      <w:lang w:val="en-US" w:eastAsia="id-ID"/>
    </w:rPr>
  </w:style>
  <w:style w:type="paragraph" w:customStyle="1" w:styleId="Sistematika">
    <w:name w:val="Sistematika"/>
    <w:link w:val="SistematikaChar"/>
    <w:qFormat/>
    <w:rsid w:val="002857A0"/>
    <w:pPr>
      <w:spacing w:before="100" w:beforeAutospacing="1" w:after="120" w:line="240" w:lineRule="auto"/>
    </w:pPr>
    <w:rPr>
      <w:rFonts w:ascii="Times New Roman" w:eastAsia="Times New Roman" w:hAnsi="Times New Roman" w:cs="Times New Roman"/>
      <w:b/>
      <w:bCs/>
      <w:kern w:val="32"/>
      <w:szCs w:val="32"/>
      <w:lang w:eastAsia="id-ID"/>
    </w:rPr>
  </w:style>
  <w:style w:type="character" w:customStyle="1" w:styleId="sejarahartikelChar">
    <w:name w:val="sejarah artikel Char"/>
    <w:link w:val="sejarahartikel"/>
    <w:rsid w:val="002857A0"/>
    <w:rPr>
      <w:rFonts w:ascii="Times New Roman" w:eastAsia="Times New Roman" w:hAnsi="Times New Roman" w:cs="Times New Roman"/>
      <w:bCs/>
      <w:kern w:val="32"/>
      <w:sz w:val="20"/>
      <w:szCs w:val="32"/>
      <w:lang w:val="en-US" w:eastAsia="id-ID"/>
    </w:rPr>
  </w:style>
  <w:style w:type="paragraph" w:customStyle="1" w:styleId="kontenutama">
    <w:name w:val="konten utama"/>
    <w:link w:val="kontenutamaChar"/>
    <w:autoRedefine/>
    <w:qFormat/>
    <w:rsid w:val="00B83906"/>
    <w:pPr>
      <w:spacing w:after="0" w:line="240" w:lineRule="auto"/>
      <w:ind w:firstLine="425"/>
      <w:jc w:val="both"/>
    </w:pPr>
    <w:rPr>
      <w:rFonts w:ascii="Constantia" w:eastAsia="Times New Roman" w:hAnsi="Constantia" w:cs="Times New Roman"/>
      <w:bCs/>
      <w:kern w:val="32"/>
      <w:lang w:eastAsia="id-ID"/>
    </w:rPr>
  </w:style>
  <w:style w:type="character" w:customStyle="1" w:styleId="SistematikaChar">
    <w:name w:val="Sistematika Char"/>
    <w:link w:val="Sistematika"/>
    <w:rsid w:val="002857A0"/>
    <w:rPr>
      <w:rFonts w:ascii="Times New Roman" w:eastAsia="Times New Roman" w:hAnsi="Times New Roman" w:cs="Times New Roman"/>
      <w:b/>
      <w:bCs/>
      <w:kern w:val="32"/>
      <w:szCs w:val="32"/>
      <w:lang w:eastAsia="id-ID"/>
    </w:rPr>
  </w:style>
  <w:style w:type="paragraph" w:customStyle="1" w:styleId="namagambar">
    <w:name w:val="nama gambar"/>
    <w:link w:val="namagambarChar"/>
    <w:autoRedefine/>
    <w:qFormat/>
    <w:rsid w:val="002857A0"/>
    <w:pPr>
      <w:spacing w:after="120" w:line="240" w:lineRule="auto"/>
      <w:jc w:val="center"/>
    </w:pPr>
    <w:rPr>
      <w:rFonts w:ascii="Times New Roman" w:eastAsia="Times New Roman" w:hAnsi="Times New Roman" w:cs="Times New Roman"/>
      <w:bCs/>
      <w:kern w:val="32"/>
      <w:szCs w:val="32"/>
    </w:rPr>
  </w:style>
  <w:style w:type="character" w:customStyle="1" w:styleId="kontenutamaChar">
    <w:name w:val="konten utama Char"/>
    <w:link w:val="kontenutama"/>
    <w:rsid w:val="00B83906"/>
    <w:rPr>
      <w:rFonts w:ascii="Constantia" w:eastAsia="Times New Roman" w:hAnsi="Constantia" w:cs="Times New Roman"/>
      <w:bCs/>
      <w:kern w:val="32"/>
      <w:lang w:val="en-US" w:eastAsia="id-ID"/>
    </w:rPr>
  </w:style>
  <w:style w:type="paragraph" w:customStyle="1" w:styleId="namatabel">
    <w:name w:val="nama tabel"/>
    <w:link w:val="namatabelChar"/>
    <w:autoRedefine/>
    <w:qFormat/>
    <w:rsid w:val="002857A0"/>
    <w:pPr>
      <w:spacing w:before="120" w:after="0" w:line="240" w:lineRule="auto"/>
      <w:ind w:left="720" w:hanging="720"/>
      <w:jc w:val="center"/>
    </w:pPr>
    <w:rPr>
      <w:rFonts w:ascii="Times New Roman" w:eastAsia="Times New Roman" w:hAnsi="Times New Roman" w:cs="Times New Roman"/>
      <w:bCs/>
      <w:kern w:val="32"/>
    </w:rPr>
  </w:style>
  <w:style w:type="character" w:customStyle="1" w:styleId="namagambarChar">
    <w:name w:val="nama gambar Char"/>
    <w:link w:val="namagambar"/>
    <w:rsid w:val="002857A0"/>
    <w:rPr>
      <w:rFonts w:ascii="Times New Roman" w:eastAsia="Times New Roman" w:hAnsi="Times New Roman" w:cs="Times New Roman"/>
      <w:bCs/>
      <w:kern w:val="32"/>
      <w:szCs w:val="32"/>
      <w:lang w:val="en-US"/>
    </w:rPr>
  </w:style>
  <w:style w:type="paragraph" w:customStyle="1" w:styleId="kepalatabel">
    <w:name w:val="kepala tabel"/>
    <w:link w:val="kepalatabelChar"/>
    <w:autoRedefine/>
    <w:qFormat/>
    <w:rsid w:val="002857A0"/>
    <w:pPr>
      <w:spacing w:after="0" w:line="240" w:lineRule="auto"/>
      <w:jc w:val="center"/>
    </w:pPr>
    <w:rPr>
      <w:rFonts w:ascii="Times New Roman" w:eastAsia="Times New Roman" w:hAnsi="Times New Roman" w:cs="Times New Roman"/>
      <w:b/>
      <w:bCs/>
      <w:kern w:val="32"/>
      <w:szCs w:val="32"/>
      <w:lang w:eastAsia="id-ID"/>
    </w:rPr>
  </w:style>
  <w:style w:type="character" w:customStyle="1" w:styleId="namatabelChar">
    <w:name w:val="nama tabel Char"/>
    <w:link w:val="namatabel"/>
    <w:rsid w:val="002857A0"/>
    <w:rPr>
      <w:rFonts w:ascii="Times New Roman" w:eastAsia="Times New Roman" w:hAnsi="Times New Roman" w:cs="Times New Roman"/>
      <w:bCs/>
      <w:kern w:val="32"/>
      <w:lang w:val="en-US"/>
    </w:rPr>
  </w:style>
  <w:style w:type="paragraph" w:customStyle="1" w:styleId="subkepalatabel">
    <w:name w:val="sub kepala tabel"/>
    <w:link w:val="subkepalatabelChar"/>
    <w:qFormat/>
    <w:rsid w:val="002857A0"/>
    <w:pPr>
      <w:spacing w:after="0" w:line="240" w:lineRule="auto"/>
      <w:jc w:val="center"/>
    </w:pPr>
    <w:rPr>
      <w:rFonts w:ascii="Times New Roman" w:eastAsia="Times New Roman" w:hAnsi="Times New Roman" w:cs="Times New Roman"/>
      <w:b/>
      <w:bCs/>
      <w:kern w:val="32"/>
      <w:sz w:val="20"/>
      <w:szCs w:val="32"/>
      <w:lang w:eastAsia="id-ID"/>
    </w:rPr>
  </w:style>
  <w:style w:type="character" w:customStyle="1" w:styleId="kepalatabelChar">
    <w:name w:val="kepala tabel Char"/>
    <w:link w:val="kepalatabel"/>
    <w:rsid w:val="002857A0"/>
    <w:rPr>
      <w:rFonts w:ascii="Times New Roman" w:eastAsia="Times New Roman" w:hAnsi="Times New Roman" w:cs="Times New Roman"/>
      <w:b/>
      <w:bCs/>
      <w:kern w:val="32"/>
      <w:szCs w:val="32"/>
      <w:lang w:val="en-US" w:eastAsia="id-ID"/>
    </w:rPr>
  </w:style>
  <w:style w:type="paragraph" w:customStyle="1" w:styleId="datatabel">
    <w:name w:val="data tabel"/>
    <w:link w:val="datatabelChar"/>
    <w:qFormat/>
    <w:rsid w:val="002857A0"/>
    <w:pPr>
      <w:spacing w:after="0" w:line="240" w:lineRule="auto"/>
      <w:jc w:val="center"/>
    </w:pPr>
    <w:rPr>
      <w:rFonts w:ascii="Centaur" w:eastAsia="Times New Roman" w:hAnsi="Centaur" w:cs="Times New Roman"/>
      <w:bCs/>
      <w:kern w:val="32"/>
      <w:sz w:val="18"/>
      <w:szCs w:val="32"/>
      <w:lang w:eastAsia="id-ID"/>
    </w:rPr>
  </w:style>
  <w:style w:type="character" w:customStyle="1" w:styleId="subkepalatabelChar">
    <w:name w:val="sub kepala tabel Char"/>
    <w:link w:val="subkepalatabel"/>
    <w:rsid w:val="002857A0"/>
    <w:rPr>
      <w:rFonts w:ascii="Times New Roman" w:eastAsia="Times New Roman" w:hAnsi="Times New Roman" w:cs="Times New Roman"/>
      <w:b/>
      <w:bCs/>
      <w:kern w:val="32"/>
      <w:sz w:val="20"/>
      <w:szCs w:val="32"/>
      <w:lang w:val="en-US" w:eastAsia="id-ID"/>
    </w:rPr>
  </w:style>
  <w:style w:type="paragraph" w:customStyle="1" w:styleId="catatantabel">
    <w:name w:val="catatan tabel"/>
    <w:link w:val="catatantabelChar"/>
    <w:qFormat/>
    <w:rsid w:val="002857A0"/>
    <w:pPr>
      <w:spacing w:after="0" w:line="240" w:lineRule="auto"/>
    </w:pPr>
    <w:rPr>
      <w:rFonts w:ascii="Centaur" w:eastAsia="Times New Roman" w:hAnsi="Centaur" w:cs="Times New Roman"/>
      <w:bCs/>
      <w:kern w:val="32"/>
      <w:sz w:val="16"/>
      <w:szCs w:val="32"/>
      <w:lang w:eastAsia="id-ID"/>
    </w:rPr>
  </w:style>
  <w:style w:type="character" w:customStyle="1" w:styleId="datatabelChar">
    <w:name w:val="data tabel Char"/>
    <w:link w:val="datatabel"/>
    <w:rsid w:val="002857A0"/>
    <w:rPr>
      <w:rFonts w:ascii="Centaur" w:eastAsia="Times New Roman" w:hAnsi="Centaur" w:cs="Times New Roman"/>
      <w:bCs/>
      <w:kern w:val="32"/>
      <w:sz w:val="18"/>
      <w:szCs w:val="32"/>
      <w:lang w:eastAsia="id-ID"/>
    </w:rPr>
  </w:style>
  <w:style w:type="paragraph" w:customStyle="1" w:styleId="referensi">
    <w:name w:val="referensi"/>
    <w:link w:val="referensiChar"/>
    <w:autoRedefine/>
    <w:qFormat/>
    <w:rsid w:val="002857A0"/>
    <w:pPr>
      <w:spacing w:after="60" w:line="240" w:lineRule="auto"/>
      <w:ind w:left="720" w:hanging="720"/>
      <w:jc w:val="both"/>
    </w:pPr>
    <w:rPr>
      <w:rFonts w:ascii="Times New Roman" w:eastAsia="Times New Roman" w:hAnsi="Times New Roman" w:cs="Times New Roman"/>
      <w:bCs/>
      <w:kern w:val="32"/>
      <w:szCs w:val="32"/>
      <w:lang w:eastAsia="id-ID"/>
    </w:rPr>
  </w:style>
  <w:style w:type="character" w:customStyle="1" w:styleId="catatantabelChar">
    <w:name w:val="catatan tabel Char"/>
    <w:link w:val="catatantabel"/>
    <w:rsid w:val="002857A0"/>
    <w:rPr>
      <w:rFonts w:ascii="Centaur" w:eastAsia="Times New Roman" w:hAnsi="Centaur" w:cs="Times New Roman"/>
      <w:bCs/>
      <w:kern w:val="32"/>
      <w:sz w:val="16"/>
      <w:szCs w:val="32"/>
      <w:lang w:eastAsia="id-ID"/>
    </w:rPr>
  </w:style>
  <w:style w:type="paragraph" w:styleId="BodyText">
    <w:name w:val="Body Text"/>
    <w:basedOn w:val="Normal"/>
    <w:link w:val="BodyTextChar"/>
    <w:uiPriority w:val="99"/>
    <w:rsid w:val="002857A0"/>
    <w:pPr>
      <w:tabs>
        <w:tab w:val="left" w:pos="288"/>
      </w:tabs>
      <w:spacing w:after="120" w:line="228" w:lineRule="auto"/>
      <w:ind w:firstLine="288"/>
      <w:jc w:val="both"/>
    </w:pPr>
    <w:rPr>
      <w:rFonts w:ascii="Times New Roman" w:eastAsia="MS Mincho" w:hAnsi="Times New Roman"/>
      <w:spacing w:val="-1"/>
      <w:sz w:val="20"/>
      <w:szCs w:val="20"/>
    </w:rPr>
  </w:style>
  <w:style w:type="character" w:customStyle="1" w:styleId="BodyTextChar">
    <w:name w:val="Body Text Char"/>
    <w:basedOn w:val="DefaultParagraphFont"/>
    <w:link w:val="BodyText"/>
    <w:uiPriority w:val="99"/>
    <w:rsid w:val="002857A0"/>
    <w:rPr>
      <w:rFonts w:ascii="Times New Roman" w:eastAsia="MS Mincho" w:hAnsi="Times New Roman" w:cs="Times New Roman"/>
      <w:spacing w:val="-1"/>
      <w:sz w:val="20"/>
      <w:szCs w:val="20"/>
      <w:lang w:val="en-US"/>
    </w:rPr>
  </w:style>
  <w:style w:type="character" w:customStyle="1" w:styleId="referensiChar">
    <w:name w:val="referensi Char"/>
    <w:link w:val="referensi"/>
    <w:rsid w:val="002857A0"/>
    <w:rPr>
      <w:rFonts w:ascii="Times New Roman" w:eastAsia="Times New Roman" w:hAnsi="Times New Roman" w:cs="Times New Roman"/>
      <w:bCs/>
      <w:kern w:val="32"/>
      <w:szCs w:val="32"/>
      <w:lang w:val="en-US" w:eastAsia="id-ID"/>
    </w:rPr>
  </w:style>
  <w:style w:type="character" w:styleId="Hyperlink">
    <w:name w:val="Hyperlink"/>
    <w:uiPriority w:val="99"/>
    <w:unhideWhenUsed/>
    <w:rsid w:val="002857A0"/>
    <w:rPr>
      <w:color w:val="0000FF"/>
      <w:u w:val="single"/>
    </w:rPr>
  </w:style>
  <w:style w:type="character" w:styleId="CommentReference">
    <w:name w:val="annotation reference"/>
    <w:basedOn w:val="DefaultParagraphFont"/>
    <w:uiPriority w:val="99"/>
    <w:semiHidden/>
    <w:unhideWhenUsed/>
    <w:rsid w:val="00D14126"/>
    <w:rPr>
      <w:sz w:val="16"/>
      <w:szCs w:val="16"/>
    </w:rPr>
  </w:style>
  <w:style w:type="paragraph" w:styleId="CommentText">
    <w:name w:val="annotation text"/>
    <w:basedOn w:val="Normal"/>
    <w:link w:val="CommentTextChar"/>
    <w:uiPriority w:val="99"/>
    <w:unhideWhenUsed/>
    <w:rsid w:val="00D14126"/>
    <w:pPr>
      <w:spacing w:line="240" w:lineRule="auto"/>
    </w:pPr>
    <w:rPr>
      <w:sz w:val="20"/>
      <w:szCs w:val="20"/>
    </w:rPr>
  </w:style>
  <w:style w:type="character" w:customStyle="1" w:styleId="CommentTextChar">
    <w:name w:val="Comment Text Char"/>
    <w:basedOn w:val="DefaultParagraphFont"/>
    <w:link w:val="CommentText"/>
    <w:uiPriority w:val="99"/>
    <w:rsid w:val="00D14126"/>
    <w:rPr>
      <w:rFonts w:ascii="Bookman Old Style" w:eastAsia="Calibri" w:hAnsi="Bookman Old Style" w:cs="Times New Roman"/>
      <w:sz w:val="20"/>
      <w:szCs w:val="20"/>
    </w:rPr>
  </w:style>
  <w:style w:type="paragraph" w:styleId="CommentSubject">
    <w:name w:val="annotation subject"/>
    <w:basedOn w:val="CommentText"/>
    <w:next w:val="CommentText"/>
    <w:link w:val="CommentSubjectChar"/>
    <w:uiPriority w:val="99"/>
    <w:semiHidden/>
    <w:unhideWhenUsed/>
    <w:rsid w:val="00D14126"/>
    <w:rPr>
      <w:b/>
      <w:bCs/>
    </w:rPr>
  </w:style>
  <w:style w:type="character" w:customStyle="1" w:styleId="CommentSubjectChar">
    <w:name w:val="Comment Subject Char"/>
    <w:basedOn w:val="CommentTextChar"/>
    <w:link w:val="CommentSubject"/>
    <w:uiPriority w:val="99"/>
    <w:semiHidden/>
    <w:rsid w:val="00D14126"/>
    <w:rPr>
      <w:rFonts w:ascii="Bookman Old Style" w:eastAsia="Calibri" w:hAnsi="Bookman Old Style" w:cs="Times New Roman"/>
      <w:b/>
      <w:bCs/>
      <w:sz w:val="20"/>
      <w:szCs w:val="20"/>
    </w:rPr>
  </w:style>
  <w:style w:type="paragraph" w:styleId="BalloonText">
    <w:name w:val="Balloon Text"/>
    <w:basedOn w:val="Normal"/>
    <w:link w:val="BalloonTextChar"/>
    <w:uiPriority w:val="99"/>
    <w:semiHidden/>
    <w:unhideWhenUsed/>
    <w:rsid w:val="00D141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126"/>
    <w:rPr>
      <w:rFonts w:ascii="Segoe UI" w:eastAsia="Calibri" w:hAnsi="Segoe UI" w:cs="Segoe UI"/>
      <w:sz w:val="18"/>
      <w:szCs w:val="18"/>
    </w:rPr>
  </w:style>
  <w:style w:type="paragraph" w:styleId="ListParagraph">
    <w:name w:val="List Paragraph"/>
    <w:aliases w:val="Body of text,List Paragraph1,Body of text1,kepala 1,Body of textCxSp,Paragraf ISI,Colorful List - Accent 11,Heading 10,kepala 11,Body of text2,kepala 12,Body of text3,kepala 13,Body of text4,kepala 14,Body of text11,kepala 111,kepala 121"/>
    <w:basedOn w:val="Normal"/>
    <w:link w:val="ListParagraphChar"/>
    <w:uiPriority w:val="34"/>
    <w:qFormat/>
    <w:rsid w:val="00D14126"/>
    <w:pPr>
      <w:ind w:left="720"/>
      <w:contextualSpacing/>
    </w:pPr>
  </w:style>
  <w:style w:type="table" w:styleId="TableGrid">
    <w:name w:val="Table Grid"/>
    <w:basedOn w:val="TableNormal"/>
    <w:uiPriority w:val="39"/>
    <w:unhideWhenUsed/>
    <w:rsid w:val="00BB35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TIERAbstract">
    <w:name w:val="PETIER_Abstract"/>
    <w:basedOn w:val="Normal"/>
    <w:rsid w:val="00E42B4D"/>
    <w:pPr>
      <w:autoSpaceDE w:val="0"/>
      <w:autoSpaceDN w:val="0"/>
      <w:spacing w:after="0" w:line="240" w:lineRule="auto"/>
      <w:ind w:left="567" w:right="567"/>
      <w:jc w:val="both"/>
    </w:pPr>
    <w:rPr>
      <w:rFonts w:ascii="Times New Roman" w:eastAsia="Times New Roman" w:hAnsi="Times New Roman"/>
      <w:noProof/>
      <w:sz w:val="20"/>
      <w:szCs w:val="18"/>
    </w:rPr>
  </w:style>
  <w:style w:type="character" w:customStyle="1" w:styleId="shorttext">
    <w:name w:val="short_text"/>
    <w:basedOn w:val="DefaultParagraphFont"/>
    <w:rsid w:val="00E42B4D"/>
  </w:style>
  <w:style w:type="paragraph" w:customStyle="1" w:styleId="Abstract">
    <w:name w:val="Abstract"/>
    <w:basedOn w:val="Normal"/>
    <w:next w:val="Normal"/>
    <w:link w:val="AbstractChar"/>
    <w:rsid w:val="00E42B4D"/>
    <w:pPr>
      <w:autoSpaceDE w:val="0"/>
      <w:autoSpaceDN w:val="0"/>
      <w:spacing w:before="20" w:after="0" w:line="240" w:lineRule="auto"/>
      <w:ind w:firstLine="202"/>
      <w:jc w:val="both"/>
    </w:pPr>
    <w:rPr>
      <w:rFonts w:ascii="Times New Roman" w:eastAsia="Times New Roman" w:hAnsi="Times New Roman"/>
      <w:b/>
      <w:bCs/>
      <w:noProof/>
      <w:sz w:val="18"/>
      <w:szCs w:val="18"/>
    </w:rPr>
  </w:style>
  <w:style w:type="paragraph" w:customStyle="1" w:styleId="IEEEAbstractHeading">
    <w:name w:val="IEEE Abstract Heading"/>
    <w:basedOn w:val="Normal"/>
    <w:link w:val="IEEEAbstractHeadingChar"/>
    <w:rsid w:val="00E42B4D"/>
    <w:pPr>
      <w:spacing w:after="0" w:line="240" w:lineRule="auto"/>
    </w:pPr>
    <w:rPr>
      <w:rFonts w:ascii="Times New Roman" w:eastAsia="SimSun" w:hAnsi="Times New Roman"/>
      <w:noProof/>
      <w:lang w:eastAsia="zh-CN"/>
    </w:rPr>
  </w:style>
  <w:style w:type="character" w:customStyle="1" w:styleId="IEEEAbstractHeadingChar">
    <w:name w:val="IEEE Abstract Heading Char"/>
    <w:link w:val="IEEEAbstractHeading"/>
    <w:locked/>
    <w:rsid w:val="00E42B4D"/>
    <w:rPr>
      <w:rFonts w:ascii="Times New Roman" w:eastAsia="SimSun" w:hAnsi="Times New Roman" w:cs="Times New Roman"/>
      <w:noProof/>
      <w:sz w:val="24"/>
      <w:szCs w:val="24"/>
      <w:lang w:eastAsia="zh-CN"/>
    </w:rPr>
  </w:style>
  <w:style w:type="paragraph" w:customStyle="1" w:styleId="Abstrak">
    <w:name w:val="Abstrak"/>
    <w:basedOn w:val="Abstract"/>
    <w:link w:val="AbstrakChar"/>
    <w:qFormat/>
    <w:rsid w:val="00E42B4D"/>
    <w:pPr>
      <w:tabs>
        <w:tab w:val="left" w:pos="8505"/>
      </w:tabs>
      <w:spacing w:before="0"/>
      <w:ind w:left="851" w:right="849" w:firstLine="0"/>
    </w:pPr>
    <w:rPr>
      <w:rFonts w:ascii="Calibri" w:hAnsi="Calibri"/>
      <w:b w:val="0"/>
      <w:sz w:val="20"/>
      <w:szCs w:val="20"/>
      <w:lang w:val="id-ID"/>
    </w:rPr>
  </w:style>
  <w:style w:type="character" w:customStyle="1" w:styleId="AbstractChar">
    <w:name w:val="Abstract Char"/>
    <w:link w:val="Abstract"/>
    <w:rsid w:val="00E42B4D"/>
    <w:rPr>
      <w:rFonts w:ascii="Times New Roman" w:eastAsia="Times New Roman" w:hAnsi="Times New Roman" w:cs="Times New Roman"/>
      <w:b/>
      <w:bCs/>
      <w:noProof/>
      <w:sz w:val="18"/>
      <w:szCs w:val="18"/>
      <w:lang w:val="en-US"/>
    </w:rPr>
  </w:style>
  <w:style w:type="character" w:customStyle="1" w:styleId="AbstrakChar">
    <w:name w:val="Abstrak Char"/>
    <w:link w:val="Abstrak"/>
    <w:rsid w:val="00E42B4D"/>
    <w:rPr>
      <w:rFonts w:ascii="Calibri" w:eastAsia="Times New Roman" w:hAnsi="Calibri" w:cs="Times New Roman"/>
      <w:bCs/>
      <w:noProof/>
      <w:sz w:val="20"/>
      <w:szCs w:val="20"/>
    </w:rPr>
  </w:style>
  <w:style w:type="character" w:customStyle="1" w:styleId="longtext">
    <w:name w:val="long_text"/>
    <w:basedOn w:val="DefaultParagraphFont"/>
    <w:rsid w:val="00EA752C"/>
  </w:style>
  <w:style w:type="paragraph" w:customStyle="1" w:styleId="Teks">
    <w:name w:val="Teks"/>
    <w:basedOn w:val="Normal"/>
    <w:link w:val="TeksChar"/>
    <w:qFormat/>
    <w:rsid w:val="00EA752C"/>
    <w:pPr>
      <w:spacing w:after="240" w:line="276" w:lineRule="auto"/>
      <w:ind w:firstLine="567"/>
      <w:contextualSpacing/>
      <w:jc w:val="both"/>
    </w:pPr>
    <w:rPr>
      <w:rFonts w:ascii="Calibri" w:hAnsi="Calibri"/>
      <w:sz w:val="22"/>
      <w:shd w:val="clear" w:color="auto" w:fill="FFFFFF"/>
    </w:rPr>
  </w:style>
  <w:style w:type="character" w:customStyle="1" w:styleId="TeksChar">
    <w:name w:val="Teks Char"/>
    <w:link w:val="Teks"/>
    <w:rsid w:val="00EA752C"/>
    <w:rPr>
      <w:rFonts w:ascii="Calibri" w:eastAsia="Calibri" w:hAnsi="Calibri" w:cs="Times New Roman"/>
      <w:lang w:val="en-US"/>
    </w:rPr>
  </w:style>
  <w:style w:type="character" w:customStyle="1" w:styleId="mediumtext">
    <w:name w:val="medium_text"/>
    <w:basedOn w:val="DefaultParagraphFont"/>
    <w:rsid w:val="00EA752C"/>
  </w:style>
  <w:style w:type="paragraph" w:customStyle="1" w:styleId="IEEETableCell">
    <w:name w:val="IEEE Table Cell"/>
    <w:basedOn w:val="Normal"/>
    <w:rsid w:val="00EA752C"/>
    <w:pPr>
      <w:adjustRightInd w:val="0"/>
      <w:snapToGrid w:val="0"/>
      <w:spacing w:after="0" w:line="240" w:lineRule="auto"/>
    </w:pPr>
    <w:rPr>
      <w:rFonts w:ascii="Times New Roman" w:eastAsia="SimSun" w:hAnsi="Times New Roman"/>
      <w:sz w:val="18"/>
      <w:lang w:val="en-AU" w:eastAsia="zh-CN"/>
    </w:rPr>
  </w:style>
  <w:style w:type="paragraph" w:customStyle="1" w:styleId="IEEETableHeaderCentered">
    <w:name w:val="IEEE Table Header Centered"/>
    <w:basedOn w:val="IEEETableCell"/>
    <w:rsid w:val="00EA752C"/>
    <w:pPr>
      <w:jc w:val="center"/>
    </w:pPr>
    <w:rPr>
      <w:b/>
      <w:bCs/>
    </w:rPr>
  </w:style>
  <w:style w:type="paragraph" w:customStyle="1" w:styleId="IEEETableHeaderLeft-Justified">
    <w:name w:val="IEEE Table Header Left-Justified"/>
    <w:basedOn w:val="IEEETableCell"/>
    <w:rsid w:val="00EA752C"/>
    <w:rPr>
      <w:b/>
      <w:bCs/>
    </w:rPr>
  </w:style>
  <w:style w:type="paragraph" w:customStyle="1" w:styleId="IEEEFigureCaptionSingle-Line">
    <w:name w:val="IEEE Figure Caption Single-Line"/>
    <w:basedOn w:val="Normal"/>
    <w:next w:val="Normal"/>
    <w:rsid w:val="00EA752C"/>
    <w:pPr>
      <w:spacing w:before="120" w:after="120" w:line="240" w:lineRule="auto"/>
      <w:jc w:val="center"/>
    </w:pPr>
    <w:rPr>
      <w:rFonts w:ascii="Times New Roman" w:eastAsia="SimSun" w:hAnsi="Times New Roman"/>
      <w:noProof/>
      <w:sz w:val="16"/>
      <w:lang w:eastAsia="zh-CN"/>
    </w:rPr>
  </w:style>
  <w:style w:type="paragraph" w:customStyle="1" w:styleId="IEEEFigure">
    <w:name w:val="IEEE Figure"/>
    <w:basedOn w:val="Normal"/>
    <w:next w:val="IEEEFigureCaptionSingle-Line"/>
    <w:rsid w:val="00EA752C"/>
    <w:pPr>
      <w:spacing w:after="0" w:line="240" w:lineRule="auto"/>
      <w:jc w:val="center"/>
    </w:pPr>
    <w:rPr>
      <w:rFonts w:ascii="Times New Roman" w:eastAsia="SimSun" w:hAnsi="Times New Roman"/>
      <w:noProof/>
      <w:lang w:eastAsia="zh-CN"/>
    </w:rPr>
  </w:style>
  <w:style w:type="paragraph" w:customStyle="1" w:styleId="IsiDaftarRujukan">
    <w:name w:val="Isi Daftar Rujukan"/>
    <w:basedOn w:val="Normal"/>
    <w:link w:val="IsiDaftarRujukanChar"/>
    <w:qFormat/>
    <w:rsid w:val="001A5EC6"/>
    <w:pPr>
      <w:tabs>
        <w:tab w:val="left" w:pos="720"/>
      </w:tabs>
      <w:adjustRightInd w:val="0"/>
      <w:snapToGrid w:val="0"/>
      <w:spacing w:after="0" w:line="240" w:lineRule="auto"/>
      <w:ind w:left="567" w:hanging="567"/>
      <w:jc w:val="both"/>
    </w:pPr>
    <w:rPr>
      <w:rFonts w:ascii="Calibri" w:eastAsia="SimSun" w:hAnsi="Calibri"/>
      <w:noProof/>
      <w:sz w:val="22"/>
      <w:lang w:eastAsia="zh-CN"/>
    </w:rPr>
  </w:style>
  <w:style w:type="character" w:customStyle="1" w:styleId="IsiDaftarRujukanChar">
    <w:name w:val="Isi Daftar Rujukan Char"/>
    <w:link w:val="IsiDaftarRujukan"/>
    <w:rsid w:val="001A5EC6"/>
    <w:rPr>
      <w:rFonts w:ascii="Calibri" w:eastAsia="SimSun" w:hAnsi="Calibri" w:cs="Times New Roman"/>
      <w:noProof/>
      <w:lang w:eastAsia="zh-CN"/>
    </w:rPr>
  </w:style>
  <w:style w:type="character" w:customStyle="1" w:styleId="UnresolvedMention1">
    <w:name w:val="Unresolved Mention1"/>
    <w:basedOn w:val="DefaultParagraphFont"/>
    <w:uiPriority w:val="99"/>
    <w:semiHidden/>
    <w:unhideWhenUsed/>
    <w:rsid w:val="003F1F14"/>
    <w:rPr>
      <w:color w:val="605E5C"/>
      <w:shd w:val="clear" w:color="auto" w:fill="E1DFDD"/>
    </w:rPr>
  </w:style>
  <w:style w:type="character" w:customStyle="1" w:styleId="Heading1Char">
    <w:name w:val="Heading 1 Char"/>
    <w:basedOn w:val="DefaultParagraphFont"/>
    <w:link w:val="Heading1"/>
    <w:uiPriority w:val="9"/>
    <w:rsid w:val="00036A90"/>
    <w:rPr>
      <w:rFonts w:asciiTheme="majorHAnsi" w:eastAsiaTheme="majorEastAsia" w:hAnsiTheme="majorHAnsi" w:cstheme="majorBidi"/>
      <w:b/>
      <w:bCs/>
      <w:color w:val="2F5496" w:themeColor="accent1" w:themeShade="BF"/>
      <w:sz w:val="28"/>
      <w:szCs w:val="28"/>
      <w:lang w:val="en-US" w:bidi="en-US"/>
    </w:rPr>
  </w:style>
  <w:style w:type="paragraph" w:styleId="Bibliography">
    <w:name w:val="Bibliography"/>
    <w:basedOn w:val="Normal"/>
    <w:next w:val="Normal"/>
    <w:uiPriority w:val="37"/>
    <w:unhideWhenUsed/>
    <w:rsid w:val="00036A90"/>
  </w:style>
  <w:style w:type="paragraph" w:styleId="Revision">
    <w:name w:val="Revision"/>
    <w:hidden/>
    <w:uiPriority w:val="99"/>
    <w:semiHidden/>
    <w:rsid w:val="004A56BA"/>
    <w:pPr>
      <w:spacing w:after="0" w:line="240" w:lineRule="auto"/>
    </w:pPr>
    <w:rPr>
      <w:rFonts w:eastAsia="Calibri" w:cs="Times New Roma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character" w:styleId="FootnoteReference">
    <w:name w:val="footnote reference"/>
    <w:basedOn w:val="DefaultParagraphFont"/>
    <w:uiPriority w:val="99"/>
    <w:semiHidden/>
    <w:unhideWhenUsed/>
    <w:rsid w:val="00C43F04"/>
    <w:rPr>
      <w:vertAlign w:val="superscript"/>
    </w:rPr>
  </w:style>
  <w:style w:type="paragraph" w:styleId="HTMLPreformatted">
    <w:name w:val="HTML Preformatted"/>
    <w:basedOn w:val="Normal"/>
    <w:link w:val="HTMLPreformattedChar"/>
    <w:uiPriority w:val="99"/>
    <w:unhideWhenUsed/>
    <w:rsid w:val="00C43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 w:eastAsia="en-ID"/>
    </w:rPr>
  </w:style>
  <w:style w:type="character" w:customStyle="1" w:styleId="HTMLPreformattedChar">
    <w:name w:val="HTML Preformatted Char"/>
    <w:basedOn w:val="DefaultParagraphFont"/>
    <w:link w:val="HTMLPreformatted"/>
    <w:uiPriority w:val="99"/>
    <w:rsid w:val="00C43F04"/>
    <w:rPr>
      <w:rFonts w:ascii="Courier New" w:eastAsia="Times New Roman" w:hAnsi="Courier New" w:cs="Courier New"/>
      <w:sz w:val="20"/>
      <w:szCs w:val="20"/>
      <w:lang w:val="en" w:eastAsia="en-ID"/>
    </w:rPr>
  </w:style>
  <w:style w:type="character" w:styleId="UnresolvedMention">
    <w:name w:val="Unresolved Mention"/>
    <w:basedOn w:val="DefaultParagraphFont"/>
    <w:uiPriority w:val="99"/>
    <w:semiHidden/>
    <w:unhideWhenUsed/>
    <w:rsid w:val="00C43F04"/>
    <w:rPr>
      <w:color w:val="605E5C"/>
      <w:shd w:val="clear" w:color="auto" w:fill="E1DFDD"/>
    </w:rPr>
  </w:style>
  <w:style w:type="paragraph" w:customStyle="1" w:styleId="DaftarPustaka">
    <w:name w:val="Daftar Pustaka"/>
    <w:basedOn w:val="Title"/>
    <w:qFormat/>
    <w:rsid w:val="002E460D"/>
    <w:pPr>
      <w:keepNext w:val="0"/>
      <w:keepLines w:val="0"/>
      <w:spacing w:before="120" w:line="240" w:lineRule="auto"/>
      <w:ind w:left="284" w:hanging="284"/>
      <w:jc w:val="both"/>
    </w:pPr>
    <w:rPr>
      <w:rFonts w:ascii="Times New Roman" w:eastAsia="Times New Roman" w:hAnsi="Times New Roman"/>
      <w:b w:val="0"/>
      <w:noProof/>
      <w:sz w:val="20"/>
      <w:szCs w:val="24"/>
    </w:rPr>
  </w:style>
  <w:style w:type="character" w:customStyle="1" w:styleId="ListParagraphChar">
    <w:name w:val="List Paragraph Char"/>
    <w:aliases w:val="Body of text Char,List Paragraph1 Char,Body of text1 Char,kepala 1 Char,Body of textCxSp Char,Paragraf ISI Char,Colorful List - Accent 11 Char,Heading 10 Char,kepala 11 Char,Body of text2 Char,kepala 12 Char,Body of text3 Char"/>
    <w:link w:val="ListParagraph"/>
    <w:uiPriority w:val="34"/>
    <w:qFormat/>
    <w:locked/>
    <w:rsid w:val="002E460D"/>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057/978-1-137-59733-5"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i.org/10.1057/978-1-137-597"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sitihabibah@unesa.ac.id"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egOF5RvWdlpopYAa15/lT1VJyg==">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</go:docsCustomData>
</go:gDocsCustomXmlDataStorage>
</file>

<file path=customXml/itemProps1.xml><?xml version="1.0" encoding="utf-8"?>
<ds:datastoreItem xmlns:ds="http://schemas.openxmlformats.org/officeDocument/2006/customXml" ds:itemID="{B87AB6B1-3108-42D8-91C4-6317F68EC91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4203</Words>
  <Characters>23960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Beti Indah S</cp:lastModifiedBy>
  <cp:revision>2</cp:revision>
  <dcterms:created xsi:type="dcterms:W3CDTF">2025-12-25T03:35:00Z</dcterms:created>
  <dcterms:modified xsi:type="dcterms:W3CDTF">2025-12-25T03:35:00Z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8b27b5f8-9167-3a81-a0ea-21e6d336aeda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