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0D1" w:rsidRPr="00D602BB" w:rsidRDefault="001B40D1" w:rsidP="001B40D1">
      <w:pPr>
        <w:spacing w:after="0" w:line="24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-226695</wp:posOffset>
                </wp:positionV>
                <wp:extent cx="6064250" cy="2120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0D1" w:rsidRDefault="001B40D1" w:rsidP="001B4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8pt;margin-top:-17.85pt;width:477.5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" stroked="f">
                <v:textbox>
                  <w:txbxContent>
                    <w:p w:rsidR="001B40D1" w:rsidRDefault="001B40D1" w:rsidP="001B40D1"/>
                  </w:txbxContent>
                </v:textbox>
              </v:shape>
            </w:pict>
          </mc:Fallback>
        </mc:AlternateContent>
      </w:r>
      <w:r w:rsidRPr="00D602BB">
        <w:rPr>
          <w:rFonts w:ascii="Times New Roman" w:hAnsi="Times New Roman"/>
          <w:b/>
          <w:sz w:val="24"/>
          <w:szCs w:val="24"/>
        </w:rPr>
        <w:t>Different Performance of Different Bank Ownership</w:t>
      </w:r>
    </w:p>
    <w:p w:rsidR="001B40D1" w:rsidRPr="00D602BB" w:rsidRDefault="001B40D1" w:rsidP="001B40D1">
      <w:pPr>
        <w:spacing w:after="0" w:line="240" w:lineRule="auto"/>
        <w:jc w:val="center"/>
        <w:rPr>
          <w:rFonts w:ascii="Times New Roman" w:hAnsi="Times New Roman"/>
          <w:b/>
          <w:sz w:val="24"/>
          <w:szCs w:val="24"/>
        </w:rPr>
      </w:pPr>
      <w:r w:rsidRPr="00D602BB">
        <w:rPr>
          <w:rFonts w:ascii="Times New Roman" w:hAnsi="Times New Roman"/>
          <w:b/>
          <w:sz w:val="24"/>
          <w:szCs w:val="24"/>
        </w:rPr>
        <w:t>(Case Study of Indonesian Banks)</w:t>
      </w:r>
    </w:p>
    <w:p w:rsidR="001B40D1" w:rsidRPr="00D602BB" w:rsidRDefault="001B40D1" w:rsidP="001B40D1">
      <w:pPr>
        <w:spacing w:after="0" w:line="240" w:lineRule="auto"/>
        <w:jc w:val="center"/>
        <w:rPr>
          <w:rFonts w:ascii="Times New Roman" w:hAnsi="Times New Roman"/>
          <w:b/>
          <w:sz w:val="24"/>
          <w:szCs w:val="24"/>
        </w:rPr>
      </w:pPr>
    </w:p>
    <w:p w:rsidR="001B40D1" w:rsidRPr="00D602BB" w:rsidRDefault="001B40D1" w:rsidP="001B40D1">
      <w:pPr>
        <w:spacing w:after="0" w:line="240" w:lineRule="auto"/>
        <w:jc w:val="center"/>
        <w:rPr>
          <w:b/>
          <w:sz w:val="24"/>
          <w:szCs w:val="24"/>
        </w:rPr>
      </w:pPr>
      <w:r w:rsidRPr="00D602BB">
        <w:rPr>
          <w:b/>
          <w:sz w:val="24"/>
          <w:szCs w:val="24"/>
          <w:vertAlign w:val="superscript"/>
        </w:rPr>
        <w:t>1</w:t>
      </w:r>
      <w:r w:rsidRPr="00D602BB">
        <w:rPr>
          <w:b/>
          <w:sz w:val="24"/>
          <w:szCs w:val="24"/>
        </w:rPr>
        <w:t xml:space="preserve">IKA PERMATASARI, </w:t>
      </w:r>
      <w:r w:rsidRPr="00D602BB">
        <w:rPr>
          <w:b/>
          <w:sz w:val="24"/>
          <w:szCs w:val="24"/>
          <w:vertAlign w:val="superscript"/>
        </w:rPr>
        <w:t>2</w:t>
      </w:r>
      <w:r w:rsidRPr="00D602BB">
        <w:rPr>
          <w:b/>
          <w:sz w:val="24"/>
          <w:szCs w:val="24"/>
        </w:rPr>
        <w:t>AISYATURRAHMI</w:t>
      </w:r>
    </w:p>
    <w:p w:rsidR="001B40D1" w:rsidRPr="00D602BB" w:rsidRDefault="001B40D1" w:rsidP="001B40D1">
      <w:pPr>
        <w:spacing w:after="0" w:line="240" w:lineRule="auto"/>
        <w:jc w:val="center"/>
        <w:rPr>
          <w:sz w:val="24"/>
          <w:szCs w:val="24"/>
        </w:rPr>
      </w:pPr>
    </w:p>
    <w:p w:rsidR="001B40D1" w:rsidRPr="00D602BB" w:rsidRDefault="001B40D1" w:rsidP="001B40D1">
      <w:pPr>
        <w:spacing w:after="0" w:line="240" w:lineRule="auto"/>
        <w:jc w:val="center"/>
        <w:rPr>
          <w:sz w:val="24"/>
          <w:szCs w:val="24"/>
        </w:rPr>
      </w:pPr>
      <w:r w:rsidRPr="00D602BB">
        <w:rPr>
          <w:sz w:val="24"/>
          <w:szCs w:val="24"/>
          <w:vertAlign w:val="superscript"/>
        </w:rPr>
        <w:t>1,2</w:t>
      </w:r>
      <w:r w:rsidRPr="00D602BB">
        <w:rPr>
          <w:sz w:val="24"/>
          <w:szCs w:val="24"/>
        </w:rPr>
        <w:t xml:space="preserve">Accounting Department, </w:t>
      </w:r>
      <w:proofErr w:type="spellStart"/>
      <w:r w:rsidRPr="00D602BB">
        <w:rPr>
          <w:sz w:val="24"/>
          <w:szCs w:val="24"/>
        </w:rPr>
        <w:t>Universitas</w:t>
      </w:r>
      <w:proofErr w:type="spellEnd"/>
      <w:r w:rsidRPr="00D602BB">
        <w:rPr>
          <w:sz w:val="24"/>
          <w:szCs w:val="24"/>
        </w:rPr>
        <w:t xml:space="preserve"> </w:t>
      </w:r>
      <w:proofErr w:type="spellStart"/>
      <w:r w:rsidRPr="00D602BB">
        <w:rPr>
          <w:sz w:val="24"/>
          <w:szCs w:val="24"/>
        </w:rPr>
        <w:t>Negeri</w:t>
      </w:r>
      <w:proofErr w:type="spellEnd"/>
      <w:r w:rsidRPr="00D602BB">
        <w:rPr>
          <w:sz w:val="24"/>
          <w:szCs w:val="24"/>
        </w:rPr>
        <w:t xml:space="preserve"> Surabaya, Indonesia</w:t>
      </w:r>
    </w:p>
    <w:p w:rsidR="001B40D1" w:rsidRPr="00D602BB" w:rsidRDefault="001B40D1" w:rsidP="001B40D1">
      <w:pPr>
        <w:spacing w:after="0" w:line="240" w:lineRule="auto"/>
        <w:jc w:val="center"/>
        <w:rPr>
          <w:sz w:val="24"/>
          <w:szCs w:val="24"/>
          <w:lang w:eastAsia="zh-TW"/>
        </w:rPr>
      </w:pPr>
      <w:r w:rsidRPr="00D602BB">
        <w:rPr>
          <w:sz w:val="24"/>
          <w:szCs w:val="24"/>
        </w:rPr>
        <w:t xml:space="preserve">Email: </w:t>
      </w:r>
      <w:r w:rsidRPr="00D602BB">
        <w:rPr>
          <w:sz w:val="24"/>
          <w:szCs w:val="24"/>
          <w:vertAlign w:val="superscript"/>
        </w:rPr>
        <w:t>1</w:t>
      </w:r>
      <w:r w:rsidRPr="00D602BB">
        <w:rPr>
          <w:sz w:val="24"/>
          <w:szCs w:val="24"/>
        </w:rPr>
        <w:t xml:space="preserve">ikapermatasari@unesa.ac.id, </w:t>
      </w:r>
      <w:r w:rsidRPr="00D602BB">
        <w:rPr>
          <w:sz w:val="24"/>
          <w:szCs w:val="24"/>
          <w:vertAlign w:val="superscript"/>
        </w:rPr>
        <w:t>2</w:t>
      </w:r>
      <w:r w:rsidRPr="00D602BB">
        <w:rPr>
          <w:sz w:val="24"/>
          <w:szCs w:val="24"/>
        </w:rPr>
        <w:t>aisyaturrahmi@yahoo.co.id</w:t>
      </w:r>
    </w:p>
    <w:p w:rsidR="000D2D3E" w:rsidRDefault="000D2D3E"/>
    <w:p w:rsidR="001B40D1" w:rsidRPr="00D602BB" w:rsidRDefault="001B40D1" w:rsidP="001B40D1">
      <w:pPr>
        <w:pBdr>
          <w:top w:val="single" w:sz="4" w:space="1" w:color="auto"/>
          <w:bottom w:val="single" w:sz="4" w:space="1" w:color="auto"/>
        </w:pBdr>
        <w:spacing w:after="0" w:line="240" w:lineRule="auto"/>
        <w:jc w:val="both"/>
        <w:rPr>
          <w:rFonts w:ascii="Times New Roman" w:hAnsi="Times New Roman"/>
          <w:bCs/>
          <w:sz w:val="24"/>
          <w:szCs w:val="24"/>
        </w:rPr>
      </w:pPr>
      <w:r w:rsidRPr="00D602BB">
        <w:rPr>
          <w:rFonts w:ascii="Times New Roman" w:hAnsi="Times New Roman"/>
          <w:b/>
          <w:sz w:val="24"/>
          <w:szCs w:val="24"/>
        </w:rPr>
        <w:t xml:space="preserve">Abstract: </w:t>
      </w:r>
      <w:r w:rsidRPr="00D602BB">
        <w:rPr>
          <w:rFonts w:ascii="Times New Roman" w:hAnsi="Times New Roman"/>
          <w:bCs/>
          <w:sz w:val="24"/>
          <w:szCs w:val="24"/>
        </w:rPr>
        <w:t>Bank performance is closely related to the policy of the bank. The policy itself is determined by who is the owner of the bank. Bank ownership status in Indonesia itself consists of government-owned banks, domestic private banks, and foreign banks. This study will examine whether there are differences in performa</w:t>
      </w:r>
      <w:bookmarkStart w:id="0" w:name="_GoBack"/>
      <w:bookmarkEnd w:id="0"/>
      <w:r w:rsidRPr="00D602BB">
        <w:rPr>
          <w:rFonts w:ascii="Times New Roman" w:hAnsi="Times New Roman"/>
          <w:bCs/>
          <w:sz w:val="24"/>
          <w:szCs w:val="24"/>
        </w:rPr>
        <w:t>nce of the three types of ownership. The bank's performance consists of profitability, credit quality, liquidity, and earnings asset. The results of this study indicated that government-owned banks were the best performing banks in terms of profitability. In terms of liquidity and the earnings assets showed different results that foreign banks were superior to private and domestic banks. But in terms of credit quality, the three types of bank ownership showed the same results.</w:t>
      </w:r>
    </w:p>
    <w:p w:rsidR="001B40D1" w:rsidRPr="00D602BB" w:rsidRDefault="001B40D1" w:rsidP="001B40D1">
      <w:pPr>
        <w:pBdr>
          <w:top w:val="single" w:sz="4" w:space="1" w:color="auto"/>
          <w:bottom w:val="single" w:sz="4" w:space="1" w:color="auto"/>
        </w:pBdr>
        <w:spacing w:after="0" w:line="240" w:lineRule="auto"/>
        <w:jc w:val="both"/>
        <w:rPr>
          <w:rFonts w:ascii="Times New Roman" w:hAnsi="Times New Roman"/>
          <w:sz w:val="24"/>
          <w:szCs w:val="24"/>
        </w:rPr>
      </w:pPr>
    </w:p>
    <w:p w:rsidR="001B40D1" w:rsidRPr="00D602BB" w:rsidRDefault="001B40D1" w:rsidP="001B40D1">
      <w:pPr>
        <w:pBdr>
          <w:top w:val="single" w:sz="4" w:space="1" w:color="auto"/>
          <w:bottom w:val="single" w:sz="4" w:space="1" w:color="auto"/>
        </w:pBdr>
        <w:spacing w:after="0" w:line="240" w:lineRule="auto"/>
        <w:ind w:left="990" w:hanging="990"/>
        <w:jc w:val="both"/>
        <w:rPr>
          <w:rFonts w:ascii="Times New Roman" w:hAnsi="Times New Roman"/>
          <w:sz w:val="24"/>
          <w:szCs w:val="24"/>
        </w:rPr>
      </w:pPr>
      <w:r w:rsidRPr="00D602BB">
        <w:rPr>
          <w:rFonts w:ascii="Times New Roman" w:hAnsi="Times New Roman"/>
          <w:b/>
          <w:sz w:val="24"/>
          <w:szCs w:val="24"/>
        </w:rPr>
        <w:t>Keywords</w:t>
      </w:r>
      <w:r w:rsidRPr="00D602BB">
        <w:rPr>
          <w:rFonts w:ascii="Times New Roman" w:hAnsi="Times New Roman"/>
          <w:sz w:val="24"/>
          <w:szCs w:val="24"/>
        </w:rPr>
        <w:t>:  Bank Performance, Ownership, Profitability, Credit Quality, Liquidity, Earning Asset.</w:t>
      </w:r>
    </w:p>
    <w:p w:rsidR="001B40D1" w:rsidRDefault="001B40D1"/>
    <w:sectPr w:rsidR="001B4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D1"/>
    <w:rsid w:val="000D2D3E"/>
    <w:rsid w:val="001B40D1"/>
    <w:rsid w:val="0030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0D1"/>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0D1"/>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2019-02-09T00:13:00Z</dcterms:created>
  <dcterms:modified xsi:type="dcterms:W3CDTF">2019-02-09T00:39:00Z</dcterms:modified>
</cp:coreProperties>
</file>