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66454" w14:textId="64DEC6C6" w:rsidR="00F37CD0" w:rsidRPr="003E7FB2" w:rsidRDefault="00BB79A0">
      <w:pPr>
        <w:pStyle w:val="Title"/>
        <w:rPr>
          <w:rFonts w:ascii="Times New Roman" w:hAnsi="Times New Roman"/>
          <w:sz w:val="32"/>
          <w:szCs w:val="32"/>
        </w:rPr>
      </w:pPr>
      <w:r w:rsidRPr="001223A3">
        <w:rPr>
          <w:rFonts w:ascii="Times New Roman" w:hAnsi="Times New Roman"/>
          <w:sz w:val="32"/>
          <w:szCs w:val="32"/>
        </w:rPr>
        <w:t>Exploring the Needs of Industry 4.0: Soft Skill Development Based on Vocational Education in Higher Education</w:t>
      </w:r>
    </w:p>
    <w:p w14:paraId="3A83A915" w14:textId="77777777" w:rsidR="00F37CD0" w:rsidRPr="003E7FB2" w:rsidRDefault="00F37CD0">
      <w:pPr>
        <w:jc w:val="center"/>
        <w:rPr>
          <w:rFonts w:ascii="Times New Roman" w:hAnsi="Times New Roman"/>
          <w:b/>
        </w:rPr>
      </w:pPr>
    </w:p>
    <w:p w14:paraId="67FA57CE" w14:textId="77777777" w:rsidR="00F37CD0" w:rsidRPr="003E7FB2" w:rsidRDefault="00F37CD0">
      <w:pPr>
        <w:jc w:val="center"/>
        <w:rPr>
          <w:rFonts w:ascii="Times New Roman" w:hAnsi="Times New Roman"/>
          <w:b/>
        </w:rPr>
      </w:pPr>
    </w:p>
    <w:p w14:paraId="0A075720" w14:textId="5B0A7AF9" w:rsidR="00F37CD0" w:rsidRPr="003E7FB2" w:rsidRDefault="00BB79A0">
      <w:pPr>
        <w:jc w:val="center"/>
        <w:rPr>
          <w:rFonts w:ascii="Times New Roman" w:hAnsi="Times New Roman"/>
          <w:b/>
        </w:rPr>
      </w:pPr>
      <w:r>
        <w:rPr>
          <w:rFonts w:ascii="Times New Roman" w:hAnsi="Times New Roman"/>
          <w:b/>
        </w:rPr>
        <w:t>Petra Adamcova</w:t>
      </w:r>
      <w:r w:rsidRPr="00BB79A0">
        <w:rPr>
          <w:rFonts w:ascii="Times New Roman" w:hAnsi="Times New Roman"/>
          <w:b/>
          <w:vertAlign w:val="superscript"/>
        </w:rPr>
        <w:t>1</w:t>
      </w:r>
    </w:p>
    <w:p w14:paraId="7800ECE8" w14:textId="4423DBA2" w:rsidR="00F37CD0" w:rsidRPr="00BB79A0" w:rsidRDefault="00BB79A0" w:rsidP="00BB79A0">
      <w:pPr>
        <w:jc w:val="center"/>
        <w:rPr>
          <w:rFonts w:ascii="Times New Roman" w:hAnsi="Times New Roman"/>
          <w:sz w:val="16"/>
          <w:szCs w:val="16"/>
        </w:rPr>
      </w:pPr>
      <w:bookmarkStart w:id="0" w:name="_heading=h.30j0zll" w:colFirst="0" w:colLast="0"/>
      <w:bookmarkEnd w:id="0"/>
      <w:r w:rsidRPr="00BB79A0">
        <w:rPr>
          <w:rFonts w:ascii="Times New Roman" w:hAnsi="Times New Roman"/>
        </w:rPr>
        <w:t>West Bohemian University in Pilsen, Czech Republic</w:t>
      </w:r>
    </w:p>
    <w:p w14:paraId="568D7DEF" w14:textId="77777777" w:rsidR="00F37CD0" w:rsidRPr="003E7FB2" w:rsidRDefault="00F37CD0">
      <w:pPr>
        <w:jc w:val="center"/>
        <w:rPr>
          <w:rFonts w:ascii="Times New Roman" w:hAnsi="Times New Roman"/>
        </w:rPr>
      </w:pPr>
    </w:p>
    <w:p w14:paraId="0D252B32" w14:textId="77777777" w:rsidR="00F37CD0" w:rsidRPr="003E7FB2" w:rsidRDefault="00F37CD0">
      <w:pPr>
        <w:jc w:val="center"/>
        <w:rPr>
          <w:rFonts w:ascii="Times New Roman" w:hAnsi="Times New Roman"/>
        </w:rPr>
      </w:pPr>
    </w:p>
    <w:tbl>
      <w:tblPr>
        <w:tblStyle w:val="Style94"/>
        <w:tblW w:w="88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87"/>
        <w:gridCol w:w="282"/>
        <w:gridCol w:w="5776"/>
      </w:tblGrid>
      <w:tr w:rsidR="00F37CD0" w:rsidRPr="003E7FB2" w14:paraId="220AEC5B" w14:textId="77777777">
        <w:trPr>
          <w:jc w:val="center"/>
        </w:trPr>
        <w:tc>
          <w:tcPr>
            <w:tcW w:w="2787" w:type="dxa"/>
            <w:tcBorders>
              <w:top w:val="single" w:sz="4" w:space="0" w:color="000000"/>
              <w:left w:val="nil"/>
              <w:bottom w:val="single" w:sz="4" w:space="0" w:color="000000"/>
              <w:right w:val="nil"/>
            </w:tcBorders>
          </w:tcPr>
          <w:p w14:paraId="65F6C9D2" w14:textId="77777777" w:rsidR="00F37CD0" w:rsidRPr="003E7FB2" w:rsidRDefault="00000000">
            <w:pPr>
              <w:spacing w:before="120"/>
              <w:jc w:val="both"/>
              <w:rPr>
                <w:rFonts w:ascii="Times New Roman" w:hAnsi="Times New Roman"/>
                <w:b/>
              </w:rPr>
            </w:pPr>
            <w:r w:rsidRPr="003E7FB2">
              <w:rPr>
                <w:rFonts w:ascii="Times New Roman" w:hAnsi="Times New Roman"/>
                <w:b/>
              </w:rPr>
              <w:t>Article Info</w:t>
            </w:r>
          </w:p>
        </w:tc>
        <w:tc>
          <w:tcPr>
            <w:tcW w:w="282" w:type="dxa"/>
            <w:tcBorders>
              <w:top w:val="single" w:sz="4" w:space="0" w:color="000000"/>
              <w:left w:val="nil"/>
              <w:bottom w:val="nil"/>
              <w:right w:val="nil"/>
            </w:tcBorders>
          </w:tcPr>
          <w:p w14:paraId="47A96105" w14:textId="77777777" w:rsidR="00F37CD0" w:rsidRPr="003E7FB2" w:rsidRDefault="00F37CD0">
            <w:pPr>
              <w:spacing w:before="120"/>
              <w:jc w:val="center"/>
              <w:rPr>
                <w:rFonts w:ascii="Times New Roman" w:hAnsi="Times New Roman"/>
              </w:rPr>
            </w:pPr>
          </w:p>
        </w:tc>
        <w:tc>
          <w:tcPr>
            <w:tcW w:w="5776" w:type="dxa"/>
            <w:tcBorders>
              <w:top w:val="single" w:sz="4" w:space="0" w:color="000000"/>
              <w:left w:val="nil"/>
              <w:bottom w:val="single" w:sz="4" w:space="0" w:color="000000"/>
              <w:right w:val="nil"/>
            </w:tcBorders>
          </w:tcPr>
          <w:p w14:paraId="47FBCD97" w14:textId="77777777" w:rsidR="00F37CD0" w:rsidRPr="003E7FB2" w:rsidRDefault="00000000">
            <w:pPr>
              <w:spacing w:before="120"/>
              <w:rPr>
                <w:rFonts w:ascii="Times New Roman" w:hAnsi="Times New Roman"/>
                <w:color w:val="000000"/>
                <w:sz w:val="24"/>
                <w:szCs w:val="24"/>
              </w:rPr>
            </w:pPr>
            <w:r w:rsidRPr="003E7FB2">
              <w:rPr>
                <w:rFonts w:ascii="Times New Roman" w:hAnsi="Times New Roman"/>
                <w:b/>
                <w:color w:val="000000"/>
              </w:rPr>
              <w:t xml:space="preserve">ABSTRACT </w:t>
            </w:r>
            <w:r w:rsidRPr="003E7FB2">
              <w:rPr>
                <w:rFonts w:ascii="Times New Roman" w:hAnsi="Times New Roman"/>
                <w:sz w:val="18"/>
                <w:szCs w:val="18"/>
              </w:rPr>
              <w:t>(10 PT)</w:t>
            </w:r>
          </w:p>
        </w:tc>
      </w:tr>
      <w:tr w:rsidR="00F37CD0" w:rsidRPr="003E7FB2" w14:paraId="0B2A8F64" w14:textId="77777777">
        <w:trPr>
          <w:trHeight w:val="1268"/>
          <w:jc w:val="center"/>
        </w:trPr>
        <w:tc>
          <w:tcPr>
            <w:tcW w:w="2787" w:type="dxa"/>
            <w:tcBorders>
              <w:top w:val="single" w:sz="4" w:space="0" w:color="000000"/>
              <w:left w:val="nil"/>
              <w:bottom w:val="single" w:sz="4" w:space="0" w:color="000000"/>
              <w:right w:val="nil"/>
            </w:tcBorders>
          </w:tcPr>
          <w:p w14:paraId="181A1203" w14:textId="77777777" w:rsidR="00F37CD0" w:rsidRPr="003E7FB2" w:rsidRDefault="00000000">
            <w:pPr>
              <w:spacing w:before="120" w:after="120"/>
              <w:jc w:val="both"/>
              <w:rPr>
                <w:rFonts w:ascii="Times New Roman" w:hAnsi="Times New Roman"/>
                <w:b/>
                <w:i/>
              </w:rPr>
            </w:pPr>
            <w:r w:rsidRPr="003E7FB2">
              <w:rPr>
                <w:rFonts w:ascii="Times New Roman" w:hAnsi="Times New Roman"/>
                <w:b/>
                <w:i/>
              </w:rPr>
              <w:t>Article history:</w:t>
            </w:r>
          </w:p>
          <w:p w14:paraId="3B31C459" w14:textId="77777777" w:rsidR="00F37CD0" w:rsidRPr="003E7FB2" w:rsidRDefault="00000000">
            <w:pPr>
              <w:jc w:val="both"/>
              <w:rPr>
                <w:rFonts w:ascii="Times New Roman" w:hAnsi="Times New Roman"/>
              </w:rPr>
            </w:pPr>
            <w:r w:rsidRPr="003E7FB2">
              <w:rPr>
                <w:rFonts w:ascii="Times New Roman" w:hAnsi="Times New Roman"/>
              </w:rPr>
              <w:t xml:space="preserve">Received mm dd, </w:t>
            </w:r>
            <w:proofErr w:type="spellStart"/>
            <w:r w:rsidRPr="003E7FB2">
              <w:rPr>
                <w:rFonts w:ascii="Times New Roman" w:hAnsi="Times New Roman"/>
              </w:rPr>
              <w:t>yyyy</w:t>
            </w:r>
            <w:proofErr w:type="spellEnd"/>
          </w:p>
          <w:p w14:paraId="7F465A34" w14:textId="77777777" w:rsidR="00F37CD0" w:rsidRPr="003E7FB2" w:rsidRDefault="00000000">
            <w:pPr>
              <w:jc w:val="both"/>
              <w:rPr>
                <w:rFonts w:ascii="Times New Roman" w:hAnsi="Times New Roman"/>
              </w:rPr>
            </w:pPr>
            <w:r w:rsidRPr="003E7FB2">
              <w:rPr>
                <w:rFonts w:ascii="Times New Roman" w:hAnsi="Times New Roman"/>
              </w:rPr>
              <w:t xml:space="preserve">Revised mm dd, </w:t>
            </w:r>
            <w:proofErr w:type="spellStart"/>
            <w:r w:rsidRPr="003E7FB2">
              <w:rPr>
                <w:rFonts w:ascii="Times New Roman" w:hAnsi="Times New Roman"/>
              </w:rPr>
              <w:t>yyyy</w:t>
            </w:r>
            <w:proofErr w:type="spellEnd"/>
          </w:p>
          <w:p w14:paraId="48FF6EDB" w14:textId="77777777" w:rsidR="00F37CD0" w:rsidRPr="003E7FB2" w:rsidRDefault="00000000">
            <w:pPr>
              <w:jc w:val="both"/>
              <w:rPr>
                <w:rFonts w:ascii="Times New Roman" w:hAnsi="Times New Roman"/>
              </w:rPr>
            </w:pPr>
            <w:r w:rsidRPr="003E7FB2">
              <w:rPr>
                <w:rFonts w:ascii="Times New Roman" w:hAnsi="Times New Roman"/>
              </w:rPr>
              <w:t xml:space="preserve">Accepted mm dd, </w:t>
            </w:r>
            <w:proofErr w:type="spellStart"/>
            <w:r w:rsidRPr="003E7FB2">
              <w:rPr>
                <w:rFonts w:ascii="Times New Roman" w:hAnsi="Times New Roman"/>
              </w:rPr>
              <w:t>yyyy</w:t>
            </w:r>
            <w:proofErr w:type="spellEnd"/>
          </w:p>
          <w:p w14:paraId="0A4CAC0B" w14:textId="77777777" w:rsidR="00F37CD0" w:rsidRPr="003E7FB2" w:rsidRDefault="00F37CD0">
            <w:pPr>
              <w:jc w:val="both"/>
              <w:rPr>
                <w:rFonts w:ascii="Times New Roman" w:hAnsi="Times New Roman"/>
              </w:rPr>
            </w:pPr>
          </w:p>
        </w:tc>
        <w:tc>
          <w:tcPr>
            <w:tcW w:w="282" w:type="dxa"/>
            <w:vMerge w:val="restart"/>
            <w:tcBorders>
              <w:top w:val="nil"/>
              <w:left w:val="nil"/>
              <w:bottom w:val="nil"/>
              <w:right w:val="nil"/>
            </w:tcBorders>
          </w:tcPr>
          <w:p w14:paraId="3A70C55D" w14:textId="77777777" w:rsidR="00F37CD0" w:rsidRPr="003E7FB2" w:rsidRDefault="00F37CD0">
            <w:pPr>
              <w:spacing w:before="120"/>
              <w:jc w:val="both"/>
              <w:rPr>
                <w:rFonts w:ascii="Times New Roman" w:hAnsi="Times New Roman"/>
              </w:rPr>
            </w:pPr>
          </w:p>
        </w:tc>
        <w:tc>
          <w:tcPr>
            <w:tcW w:w="5776" w:type="dxa"/>
            <w:vMerge w:val="restart"/>
            <w:tcBorders>
              <w:top w:val="single" w:sz="4" w:space="0" w:color="000000"/>
              <w:left w:val="nil"/>
              <w:bottom w:val="nil"/>
              <w:right w:val="nil"/>
            </w:tcBorders>
          </w:tcPr>
          <w:p w14:paraId="13505070" w14:textId="7A59CBAE" w:rsidR="00F37CD0" w:rsidRPr="003E7FB2" w:rsidRDefault="00BB79A0" w:rsidP="00BB79A0">
            <w:pPr>
              <w:spacing w:before="120"/>
              <w:jc w:val="both"/>
              <w:rPr>
                <w:rFonts w:ascii="Times New Roman" w:hAnsi="Times New Roman"/>
              </w:rPr>
            </w:pPr>
            <w:r w:rsidRPr="00BB79A0">
              <w:rPr>
                <w:rFonts w:ascii="Times New Roman" w:hAnsi="Times New Roman"/>
                <w:color w:val="000000"/>
                <w:sz w:val="18"/>
                <w:szCs w:val="18"/>
              </w:rPr>
              <w:t xml:space="preserve">The rapid advancement of Industry 4.0 technologies has transformed workforce qualification requirements, placing greater emphasis on soft skills alongside technical competencies. As institutions responsible for preparing skilled graduates, vocational higher education institutions must ensure that their curricula respond to these changing industrial demands. This study aims to identify the essential soft skills required in the </w:t>
            </w:r>
            <w:proofErr w:type="gramStart"/>
            <w:r w:rsidRPr="00BB79A0">
              <w:rPr>
                <w:rFonts w:ascii="Times New Roman" w:hAnsi="Times New Roman"/>
                <w:color w:val="000000"/>
                <w:sz w:val="18"/>
                <w:szCs w:val="18"/>
              </w:rPr>
              <w:t>Industry</w:t>
            </w:r>
            <w:proofErr w:type="gramEnd"/>
            <w:r w:rsidRPr="00BB79A0">
              <w:rPr>
                <w:rFonts w:ascii="Times New Roman" w:hAnsi="Times New Roman"/>
                <w:color w:val="000000"/>
                <w:sz w:val="18"/>
                <w:szCs w:val="18"/>
              </w:rPr>
              <w:t xml:space="preserve"> 4.0 era and to explore appropriate approaches for developing these competencies within vocational education. The study employed a qualitative research design using a literature review approach by analyzing relevant books, journal articles, and previous research on vocational education and soft skill development. The findings indicate that critical thinking and problem-solving, communication and collaboration, and emotional intelligence are the most essential competencies expected by Industry 4.0. Furthermore, simulation-based learning is identified as an effective instructional approach for strengthening these competencies by integrating authentic learning experiences with digital and virtual technologies. The study concludes that systematic integration of soft skill development into vocational education is necessary to enhance graduate competitiveness and improve their readiness to meet the evolving demands of Industry 4.0.</w:t>
            </w:r>
          </w:p>
        </w:tc>
      </w:tr>
      <w:tr w:rsidR="00F37CD0" w:rsidRPr="003E7FB2" w14:paraId="32BD5089" w14:textId="77777777">
        <w:trPr>
          <w:trHeight w:val="1231"/>
          <w:jc w:val="center"/>
        </w:trPr>
        <w:tc>
          <w:tcPr>
            <w:tcW w:w="2787" w:type="dxa"/>
            <w:vMerge w:val="restart"/>
            <w:tcBorders>
              <w:top w:val="single" w:sz="4" w:space="0" w:color="000000"/>
              <w:left w:val="nil"/>
              <w:bottom w:val="single" w:sz="4" w:space="0" w:color="000000"/>
              <w:right w:val="nil"/>
            </w:tcBorders>
          </w:tcPr>
          <w:p w14:paraId="7ACB935E" w14:textId="77777777" w:rsidR="00F37CD0" w:rsidRPr="003E7FB2" w:rsidRDefault="00000000">
            <w:pPr>
              <w:spacing w:before="120" w:after="120"/>
              <w:jc w:val="both"/>
              <w:rPr>
                <w:rFonts w:ascii="Times New Roman" w:hAnsi="Times New Roman"/>
                <w:b/>
                <w:i/>
              </w:rPr>
            </w:pPr>
            <w:r w:rsidRPr="003E7FB2">
              <w:rPr>
                <w:rFonts w:ascii="Times New Roman" w:hAnsi="Times New Roman"/>
                <w:b/>
                <w:i/>
              </w:rPr>
              <w:t>Keywords:</w:t>
            </w:r>
          </w:p>
          <w:p w14:paraId="0B5DA6E6" w14:textId="77777777" w:rsidR="00CC5E7B" w:rsidRDefault="00CC5E7B" w:rsidP="00CC5E7B">
            <w:pPr>
              <w:jc w:val="both"/>
              <w:rPr>
                <w:rFonts w:ascii="Times New Roman" w:hAnsi="Times New Roman"/>
              </w:rPr>
            </w:pPr>
            <w:r w:rsidRPr="00CC5E7B">
              <w:rPr>
                <w:rFonts w:ascii="Times New Roman" w:hAnsi="Times New Roman"/>
              </w:rPr>
              <w:t xml:space="preserve">Industry 4.0, Vocational Education, </w:t>
            </w:r>
          </w:p>
          <w:p w14:paraId="690932A6" w14:textId="77777777" w:rsidR="00CC5E7B" w:rsidRDefault="00CC5E7B" w:rsidP="00CC5E7B">
            <w:pPr>
              <w:jc w:val="both"/>
              <w:rPr>
                <w:rFonts w:ascii="Times New Roman" w:hAnsi="Times New Roman"/>
              </w:rPr>
            </w:pPr>
            <w:r w:rsidRPr="00CC5E7B">
              <w:rPr>
                <w:rFonts w:ascii="Times New Roman" w:hAnsi="Times New Roman"/>
              </w:rPr>
              <w:t xml:space="preserve">Soft Skills, </w:t>
            </w:r>
          </w:p>
          <w:p w14:paraId="254825CB" w14:textId="77777777" w:rsidR="00CC5E7B" w:rsidRDefault="00CC5E7B" w:rsidP="00CC5E7B">
            <w:pPr>
              <w:jc w:val="both"/>
              <w:rPr>
                <w:rFonts w:ascii="Times New Roman" w:hAnsi="Times New Roman"/>
              </w:rPr>
            </w:pPr>
            <w:r w:rsidRPr="00CC5E7B">
              <w:rPr>
                <w:rFonts w:ascii="Times New Roman" w:hAnsi="Times New Roman"/>
              </w:rPr>
              <w:t>Simulation-Based Learning,</w:t>
            </w:r>
          </w:p>
          <w:p w14:paraId="6DDB4884" w14:textId="77777777" w:rsidR="00CC5E7B" w:rsidRDefault="00CC5E7B" w:rsidP="00CC5E7B">
            <w:pPr>
              <w:jc w:val="both"/>
              <w:rPr>
                <w:rFonts w:ascii="Times New Roman" w:hAnsi="Times New Roman"/>
              </w:rPr>
            </w:pPr>
            <w:r w:rsidRPr="00CC5E7B">
              <w:rPr>
                <w:rFonts w:ascii="Times New Roman" w:hAnsi="Times New Roman"/>
              </w:rPr>
              <w:t xml:space="preserve">Higher Education, </w:t>
            </w:r>
          </w:p>
          <w:p w14:paraId="397188E1" w14:textId="04528C41" w:rsidR="00F37CD0" w:rsidRPr="003E7FB2" w:rsidRDefault="00CC5E7B" w:rsidP="00CC5E7B">
            <w:pPr>
              <w:jc w:val="both"/>
              <w:rPr>
                <w:rFonts w:ascii="Times New Roman" w:hAnsi="Times New Roman"/>
                <w:b/>
                <w:i/>
              </w:rPr>
            </w:pPr>
            <w:r w:rsidRPr="00CC5E7B">
              <w:rPr>
                <w:rFonts w:ascii="Times New Roman" w:hAnsi="Times New Roman"/>
              </w:rPr>
              <w:t>Workforce Competencies</w:t>
            </w:r>
          </w:p>
        </w:tc>
        <w:tc>
          <w:tcPr>
            <w:tcW w:w="282" w:type="dxa"/>
            <w:vMerge/>
            <w:tcBorders>
              <w:top w:val="nil"/>
              <w:left w:val="nil"/>
              <w:bottom w:val="nil"/>
              <w:right w:val="nil"/>
            </w:tcBorders>
          </w:tcPr>
          <w:p w14:paraId="539CFEBF" w14:textId="77777777" w:rsidR="00F37CD0" w:rsidRPr="003E7FB2" w:rsidRDefault="00F37CD0">
            <w:pPr>
              <w:widowControl w:val="0"/>
              <w:spacing w:line="276" w:lineRule="auto"/>
              <w:rPr>
                <w:rFonts w:ascii="Times New Roman" w:hAnsi="Times New Roman"/>
                <w:b/>
                <w:i/>
              </w:rPr>
            </w:pPr>
          </w:p>
        </w:tc>
        <w:tc>
          <w:tcPr>
            <w:tcW w:w="5776" w:type="dxa"/>
            <w:vMerge/>
            <w:tcBorders>
              <w:top w:val="single" w:sz="4" w:space="0" w:color="000000"/>
              <w:left w:val="nil"/>
              <w:bottom w:val="nil"/>
              <w:right w:val="nil"/>
            </w:tcBorders>
          </w:tcPr>
          <w:p w14:paraId="48E5CB84" w14:textId="77777777" w:rsidR="00F37CD0" w:rsidRPr="003E7FB2" w:rsidRDefault="00F37CD0">
            <w:pPr>
              <w:widowControl w:val="0"/>
              <w:spacing w:line="276" w:lineRule="auto"/>
              <w:rPr>
                <w:rFonts w:ascii="Times New Roman" w:hAnsi="Times New Roman"/>
                <w:b/>
                <w:i/>
              </w:rPr>
            </w:pPr>
          </w:p>
        </w:tc>
      </w:tr>
      <w:tr w:rsidR="00F37CD0" w:rsidRPr="003E7FB2" w14:paraId="600EEE3D" w14:textId="77777777">
        <w:trPr>
          <w:trHeight w:val="70"/>
          <w:jc w:val="center"/>
        </w:trPr>
        <w:tc>
          <w:tcPr>
            <w:tcW w:w="2787" w:type="dxa"/>
            <w:vMerge/>
            <w:tcBorders>
              <w:top w:val="single" w:sz="4" w:space="0" w:color="000000"/>
              <w:left w:val="nil"/>
              <w:bottom w:val="single" w:sz="4" w:space="0" w:color="000000"/>
              <w:right w:val="nil"/>
            </w:tcBorders>
          </w:tcPr>
          <w:p w14:paraId="23C7597C" w14:textId="77777777" w:rsidR="00F37CD0" w:rsidRPr="003E7FB2" w:rsidRDefault="00F37CD0">
            <w:pPr>
              <w:widowControl w:val="0"/>
              <w:spacing w:line="276" w:lineRule="auto"/>
              <w:rPr>
                <w:rFonts w:ascii="Times New Roman" w:hAnsi="Times New Roman"/>
                <w:b/>
                <w:i/>
              </w:rPr>
            </w:pPr>
          </w:p>
        </w:tc>
        <w:tc>
          <w:tcPr>
            <w:tcW w:w="282" w:type="dxa"/>
            <w:vMerge/>
            <w:tcBorders>
              <w:top w:val="nil"/>
              <w:left w:val="nil"/>
              <w:bottom w:val="nil"/>
              <w:right w:val="nil"/>
            </w:tcBorders>
          </w:tcPr>
          <w:p w14:paraId="31C0A8FD" w14:textId="77777777" w:rsidR="00F37CD0" w:rsidRPr="003E7FB2" w:rsidRDefault="00F37CD0">
            <w:pPr>
              <w:widowControl w:val="0"/>
              <w:spacing w:line="276" w:lineRule="auto"/>
              <w:rPr>
                <w:rFonts w:ascii="Times New Roman" w:hAnsi="Times New Roman"/>
                <w:b/>
                <w:i/>
              </w:rPr>
            </w:pPr>
          </w:p>
        </w:tc>
        <w:tc>
          <w:tcPr>
            <w:tcW w:w="5776" w:type="dxa"/>
            <w:tcBorders>
              <w:top w:val="nil"/>
              <w:left w:val="nil"/>
              <w:bottom w:val="single" w:sz="4" w:space="0" w:color="000000"/>
              <w:right w:val="nil"/>
            </w:tcBorders>
          </w:tcPr>
          <w:p w14:paraId="471FBB91" w14:textId="77777777" w:rsidR="00F37CD0" w:rsidRPr="003E7FB2" w:rsidRDefault="00000000">
            <w:pPr>
              <w:spacing w:before="120" w:after="120"/>
              <w:jc w:val="right"/>
              <w:rPr>
                <w:rFonts w:ascii="Times New Roman" w:hAnsi="Times New Roman"/>
                <w:i/>
                <w:color w:val="000000"/>
                <w:sz w:val="18"/>
                <w:szCs w:val="18"/>
              </w:rPr>
            </w:pPr>
            <w:r w:rsidRPr="003E7FB2">
              <w:rPr>
                <w:rFonts w:ascii="Times New Roman" w:hAnsi="Times New Roman"/>
                <w:i/>
                <w:color w:val="000000"/>
                <w:sz w:val="18"/>
                <w:szCs w:val="18"/>
              </w:rPr>
              <w:t xml:space="preserve">This is an open access article under the </w:t>
            </w:r>
            <w:hyperlink r:id="rId8">
              <w:r w:rsidR="00F37CD0" w:rsidRPr="003E7FB2">
                <w:rPr>
                  <w:rFonts w:ascii="Times New Roman" w:hAnsi="Times New Roman"/>
                  <w:i/>
                  <w:color w:val="0000FF"/>
                  <w:sz w:val="18"/>
                  <w:szCs w:val="18"/>
                  <w:u w:val="single"/>
                </w:rPr>
                <w:t>CC BY-SA</w:t>
              </w:r>
            </w:hyperlink>
            <w:r w:rsidRPr="003E7FB2">
              <w:rPr>
                <w:rFonts w:ascii="Times New Roman" w:hAnsi="Times New Roman"/>
                <w:i/>
                <w:color w:val="000000"/>
                <w:sz w:val="18"/>
                <w:szCs w:val="18"/>
              </w:rPr>
              <w:t xml:space="preserve"> license.</w:t>
            </w:r>
          </w:p>
          <w:p w14:paraId="276B725C" w14:textId="77777777" w:rsidR="00F37CD0" w:rsidRPr="003E7FB2" w:rsidRDefault="00000000">
            <w:pPr>
              <w:spacing w:before="120" w:after="120"/>
              <w:jc w:val="right"/>
              <w:rPr>
                <w:rFonts w:ascii="Times New Roman" w:hAnsi="Times New Roman"/>
                <w:i/>
                <w:color w:val="000000"/>
                <w:sz w:val="18"/>
                <w:szCs w:val="18"/>
              </w:rPr>
            </w:pPr>
            <w:r w:rsidRPr="003E7FB2">
              <w:rPr>
                <w:rFonts w:ascii="Times New Roman" w:hAnsi="Times New Roman"/>
                <w:noProof/>
              </w:rPr>
              <w:drawing>
                <wp:inline distT="0" distB="0" distL="0" distR="0" wp14:anchorId="709DA086" wp14:editId="6A24249F">
                  <wp:extent cx="1057275" cy="371475"/>
                  <wp:effectExtent l="0" t="0" r="0" b="0"/>
                  <wp:docPr id="1847200835" name="image3.png"/>
                  <wp:cNvGraphicFramePr/>
                  <a:graphic xmlns:a="http://schemas.openxmlformats.org/drawingml/2006/main">
                    <a:graphicData uri="http://schemas.openxmlformats.org/drawingml/2006/picture">
                      <pic:pic xmlns:pic="http://schemas.openxmlformats.org/drawingml/2006/picture">
                        <pic:nvPicPr>
                          <pic:cNvPr id="1847200835" name="image3.png"/>
                          <pic:cNvPicPr preferRelativeResize="0"/>
                        </pic:nvPicPr>
                        <pic:blipFill>
                          <a:blip r:embed="rId9"/>
                          <a:srcRect/>
                          <a:stretch>
                            <a:fillRect/>
                          </a:stretch>
                        </pic:blipFill>
                        <pic:spPr>
                          <a:xfrm>
                            <a:off x="0" y="0"/>
                            <a:ext cx="1057275" cy="371475"/>
                          </a:xfrm>
                          <a:prstGeom prst="rect">
                            <a:avLst/>
                          </a:prstGeom>
                        </pic:spPr>
                      </pic:pic>
                    </a:graphicData>
                  </a:graphic>
                </wp:inline>
              </w:drawing>
            </w:r>
          </w:p>
        </w:tc>
      </w:tr>
      <w:tr w:rsidR="00F37CD0" w:rsidRPr="003E7FB2" w14:paraId="045203D9" w14:textId="77777777">
        <w:trPr>
          <w:jc w:val="center"/>
        </w:trPr>
        <w:tc>
          <w:tcPr>
            <w:tcW w:w="8845" w:type="dxa"/>
            <w:gridSpan w:val="3"/>
            <w:tcBorders>
              <w:top w:val="nil"/>
              <w:left w:val="nil"/>
              <w:bottom w:val="single" w:sz="4" w:space="0" w:color="000000"/>
              <w:right w:val="nil"/>
            </w:tcBorders>
          </w:tcPr>
          <w:p w14:paraId="37D68A8E" w14:textId="77777777" w:rsidR="00F37CD0" w:rsidRPr="003E7FB2" w:rsidRDefault="00000000">
            <w:pPr>
              <w:spacing w:before="120" w:after="120"/>
              <w:rPr>
                <w:rFonts w:ascii="Times New Roman" w:hAnsi="Times New Roman"/>
                <w:b/>
                <w:i/>
              </w:rPr>
            </w:pPr>
            <w:r w:rsidRPr="003E7FB2">
              <w:rPr>
                <w:rFonts w:ascii="Times New Roman" w:hAnsi="Times New Roman"/>
                <w:b/>
                <w:i/>
              </w:rPr>
              <w:t>Corresponding Author:</w:t>
            </w:r>
          </w:p>
          <w:p w14:paraId="3C8E2EBF" w14:textId="266AB5BF" w:rsidR="00F37CD0" w:rsidRPr="003E7FB2" w:rsidRDefault="00BB79A0">
            <w:pPr>
              <w:rPr>
                <w:rFonts w:ascii="Times New Roman" w:hAnsi="Times New Roman"/>
              </w:rPr>
            </w:pPr>
            <w:r>
              <w:rPr>
                <w:rFonts w:ascii="Times New Roman" w:hAnsi="Times New Roman"/>
              </w:rPr>
              <w:t>Petra Adamcova</w:t>
            </w:r>
          </w:p>
          <w:p w14:paraId="74B7CCA1" w14:textId="79DF4B1F" w:rsidR="00F37CD0" w:rsidRPr="00BB79A0" w:rsidRDefault="00BB79A0" w:rsidP="00BB79A0">
            <w:pPr>
              <w:rPr>
                <w:rFonts w:ascii="Times New Roman" w:hAnsi="Times New Roman"/>
              </w:rPr>
            </w:pPr>
            <w:r w:rsidRPr="00BB79A0">
              <w:rPr>
                <w:rFonts w:ascii="Times New Roman" w:hAnsi="Times New Roman"/>
              </w:rPr>
              <w:t>West Bohemian University in Pilsen, Czech Republic</w:t>
            </w:r>
          </w:p>
          <w:p w14:paraId="4A323CC4" w14:textId="34D7C73F" w:rsidR="00F37CD0" w:rsidRPr="003E7FB2" w:rsidRDefault="00000000">
            <w:pPr>
              <w:spacing w:after="120"/>
              <w:rPr>
                <w:rFonts w:ascii="Times New Roman" w:hAnsi="Times New Roman"/>
                <w:color w:val="000000"/>
                <w:sz w:val="18"/>
                <w:szCs w:val="18"/>
              </w:rPr>
            </w:pPr>
            <w:proofErr w:type="gramStart"/>
            <w:r w:rsidRPr="003E7FB2">
              <w:rPr>
                <w:rFonts w:ascii="Times New Roman" w:hAnsi="Times New Roman"/>
              </w:rPr>
              <w:t>Email</w:t>
            </w:r>
            <w:r w:rsidR="00BB79A0">
              <w:rPr>
                <w:rFonts w:ascii="Times New Roman" w:hAnsi="Times New Roman"/>
              </w:rPr>
              <w:t xml:space="preserve"> </w:t>
            </w:r>
            <w:r w:rsidRPr="003E7FB2">
              <w:rPr>
                <w:rFonts w:ascii="Times New Roman" w:hAnsi="Times New Roman"/>
              </w:rPr>
              <w:t>:</w:t>
            </w:r>
            <w:proofErr w:type="gramEnd"/>
            <w:r w:rsidR="00BB79A0">
              <w:rPr>
                <w:rFonts w:ascii="Times New Roman" w:hAnsi="Times New Roman"/>
              </w:rPr>
              <w:t xml:space="preserve"> </w:t>
            </w:r>
            <w:hyperlink r:id="rId10" w:history="1">
              <w:r w:rsidR="00BB79A0" w:rsidRPr="001223A3">
                <w:rPr>
                  <w:rStyle w:val="Hyperlink"/>
                  <w:rFonts w:ascii="Times New Roman" w:hAnsi="Times New Roman"/>
                  <w:bCs/>
                </w:rPr>
                <w:t>adamcova.petra96@gmail.com</w:t>
              </w:r>
            </w:hyperlink>
            <w:r w:rsidR="00BB79A0">
              <w:t xml:space="preserve"> </w:t>
            </w:r>
            <w:r w:rsidR="00BB79A0">
              <w:rPr>
                <w:rFonts w:ascii="Times New Roman" w:hAnsi="Times New Roman"/>
              </w:rPr>
              <w:t xml:space="preserve"> </w:t>
            </w:r>
          </w:p>
        </w:tc>
      </w:tr>
    </w:tbl>
    <w:p w14:paraId="596A4ABC" w14:textId="77777777" w:rsidR="00F37CD0" w:rsidRPr="003E7FB2" w:rsidRDefault="00F37CD0">
      <w:pPr>
        <w:jc w:val="both"/>
        <w:rPr>
          <w:rFonts w:ascii="Times New Roman" w:hAnsi="Times New Roman"/>
        </w:rPr>
      </w:pPr>
    </w:p>
    <w:p w14:paraId="5DC20342" w14:textId="77777777" w:rsidR="00F37CD0" w:rsidRPr="003E7FB2" w:rsidRDefault="00F37CD0">
      <w:pPr>
        <w:jc w:val="both"/>
        <w:rPr>
          <w:rFonts w:ascii="Times New Roman" w:hAnsi="Times New Roman"/>
        </w:rPr>
      </w:pPr>
    </w:p>
    <w:p w14:paraId="7703E991" w14:textId="33AF26D9" w:rsidR="00F37CD0" w:rsidRPr="003E7FB2" w:rsidRDefault="00000000">
      <w:pPr>
        <w:numPr>
          <w:ilvl w:val="0"/>
          <w:numId w:val="2"/>
        </w:numPr>
        <w:tabs>
          <w:tab w:val="left" w:pos="426"/>
        </w:tabs>
        <w:ind w:left="426" w:hanging="426"/>
        <w:rPr>
          <w:rFonts w:ascii="Times New Roman" w:hAnsi="Times New Roman"/>
          <w:b/>
        </w:rPr>
      </w:pPr>
      <w:r w:rsidRPr="003E7FB2">
        <w:rPr>
          <w:rFonts w:ascii="Times New Roman" w:hAnsi="Times New Roman"/>
          <w:b/>
        </w:rPr>
        <w:t>INTRODUCTION</w:t>
      </w:r>
    </w:p>
    <w:p w14:paraId="42F9C484" w14:textId="644E7A95" w:rsidR="00CC5E7B" w:rsidRPr="00CC5E7B" w:rsidRDefault="00000000" w:rsidP="00CC5E7B">
      <w:pPr>
        <w:ind w:firstLine="720"/>
        <w:jc w:val="both"/>
        <w:rPr>
          <w:rFonts w:ascii="Times New Roman" w:hAnsi="Times New Roman"/>
        </w:rPr>
      </w:pPr>
      <w:bookmarkStart w:id="1" w:name="_heading=h.1fob9te" w:colFirst="0" w:colLast="0"/>
      <w:bookmarkEnd w:id="1"/>
      <w:r w:rsidRPr="003E7FB2">
        <w:rPr>
          <w:rFonts w:ascii="Times New Roman" w:hAnsi="Times New Roman"/>
        </w:rPr>
        <w:t>The</w:t>
      </w:r>
      <w:r w:rsidR="00CC5E7B">
        <w:rPr>
          <w:rFonts w:ascii="Times New Roman" w:hAnsi="Times New Roman"/>
        </w:rPr>
        <w:t xml:space="preserve"> </w:t>
      </w:r>
      <w:r w:rsidR="00CC5E7B" w:rsidRPr="00CC5E7B">
        <w:rPr>
          <w:rFonts w:ascii="Times New Roman" w:hAnsi="Times New Roman"/>
        </w:rPr>
        <w:t>rapid advancement of digital technologies has accelerated the transition toward the Fourth Industrial Revolution (Industry 4.0), fundamentally transforming industrial processes, organizational structures, and workforce competency requirements. Emerging technologies such as artificial intelligence (AI), the Internet of Things (IoT), big data analytics, cloud computing, and automation have reshaped the way industries operate and compete globally. This transformation extends beyond technological innovation by requiring workers to possess higher-order competencies that enable them to adapt to complex, technology-driven environments. Consequently, educational institutions, particularly vocational higher education, are expected to prepare graduates who are capable of responding to these evolving industrial demands.</w:t>
      </w:r>
    </w:p>
    <w:p w14:paraId="02F4D413" w14:textId="77777777" w:rsidR="00CC5E7B" w:rsidRPr="00CC5E7B" w:rsidRDefault="00CC5E7B" w:rsidP="00CC5E7B">
      <w:pPr>
        <w:ind w:firstLine="720"/>
        <w:jc w:val="both"/>
        <w:rPr>
          <w:rFonts w:ascii="Times New Roman" w:hAnsi="Times New Roman"/>
        </w:rPr>
      </w:pPr>
    </w:p>
    <w:p w14:paraId="05788165" w14:textId="77777777" w:rsidR="00CC5E7B" w:rsidRPr="00CC5E7B" w:rsidRDefault="00CC5E7B" w:rsidP="00CC5E7B">
      <w:pPr>
        <w:ind w:firstLine="720"/>
        <w:jc w:val="both"/>
        <w:rPr>
          <w:rFonts w:ascii="Times New Roman" w:hAnsi="Times New Roman"/>
        </w:rPr>
      </w:pPr>
      <w:r w:rsidRPr="00CC5E7B">
        <w:rPr>
          <w:rFonts w:ascii="Times New Roman" w:hAnsi="Times New Roman"/>
        </w:rPr>
        <w:t>Vocational education plays a strategic role in developing graduates equipped with practical knowledge, technical expertise, and professional competencies aligned with labor market needs. Unlike general higher education, vocational institutions emphasize work-based learning and industry relevance to ensure graduates are ready for professional practice. However, despite this orientation, many vocational graduates continue to experience difficulties in meeting current workforce expectations because industrial employers increasingly prioritize soft skills alongside technical competencies. Skills such as communication, collaboration, adaptability, critical thinking, and emotional intelligence have become essential qualifications for employees working in highly digitalized environments.</w:t>
      </w:r>
    </w:p>
    <w:p w14:paraId="7B08C4C6" w14:textId="77777777" w:rsidR="00CC5E7B" w:rsidRPr="00CC5E7B" w:rsidRDefault="00CC5E7B" w:rsidP="00CC5E7B">
      <w:pPr>
        <w:ind w:firstLine="720"/>
        <w:jc w:val="both"/>
        <w:rPr>
          <w:rFonts w:ascii="Times New Roman" w:hAnsi="Times New Roman"/>
        </w:rPr>
      </w:pPr>
    </w:p>
    <w:p w14:paraId="1A71E2E6" w14:textId="77777777" w:rsidR="00CC5E7B" w:rsidRPr="00CC5E7B" w:rsidRDefault="00CC5E7B" w:rsidP="00CC5E7B">
      <w:pPr>
        <w:ind w:firstLine="720"/>
        <w:jc w:val="both"/>
        <w:rPr>
          <w:rFonts w:ascii="Times New Roman" w:hAnsi="Times New Roman"/>
        </w:rPr>
      </w:pPr>
      <w:r w:rsidRPr="00CC5E7B">
        <w:rPr>
          <w:rFonts w:ascii="Times New Roman" w:hAnsi="Times New Roman"/>
        </w:rPr>
        <w:t>Previous studies have highlighted the importance of integrating soft skills into vocational education to improve graduate employability and professional performance. Research has consistently identified critical thinking, problem-solving, teamwork, communication, and emotional intelligence as competencies required to support sustainable career development in Industry 4.0. Nevertheless, most previous studies have primarily focused on identifying required competencies without comprehensively discussing instructional approaches that effectively facilitate soft skill development within vocational higher education.</w:t>
      </w:r>
    </w:p>
    <w:p w14:paraId="1E1A4961" w14:textId="77777777" w:rsidR="00CC5E7B" w:rsidRPr="00CC5E7B" w:rsidRDefault="00CC5E7B" w:rsidP="00CC5E7B">
      <w:pPr>
        <w:ind w:firstLine="720"/>
        <w:jc w:val="both"/>
        <w:rPr>
          <w:rFonts w:ascii="Times New Roman" w:hAnsi="Times New Roman"/>
        </w:rPr>
      </w:pPr>
    </w:p>
    <w:p w14:paraId="717DCE13" w14:textId="77777777" w:rsidR="00CC5E7B" w:rsidRPr="00CC5E7B" w:rsidRDefault="00CC5E7B" w:rsidP="00CC5E7B">
      <w:pPr>
        <w:ind w:firstLine="720"/>
        <w:jc w:val="both"/>
        <w:rPr>
          <w:rFonts w:ascii="Times New Roman" w:hAnsi="Times New Roman"/>
        </w:rPr>
      </w:pPr>
      <w:r w:rsidRPr="00CC5E7B">
        <w:rPr>
          <w:rFonts w:ascii="Times New Roman" w:hAnsi="Times New Roman"/>
        </w:rPr>
        <w:t>This gap indicates the need for a more comprehensive analysis that not only identifies the soft skills demanded by Industry 4.0 but also examines learning approaches capable of strengthening these competencies in vocational education. Addressing this issue is essential because curriculum transformation alone is insufficient without appropriate learning strategies that encourage students to actively develop interpersonal and cognitive competencies relevant to industrial practice. Practice-oriented learning supported by digital technologies has become increasingly important to bridge the gap between academic preparation and workplace expectations.</w:t>
      </w:r>
    </w:p>
    <w:p w14:paraId="0257A5D1" w14:textId="77777777" w:rsidR="00CC5E7B" w:rsidRPr="00CC5E7B" w:rsidRDefault="00CC5E7B" w:rsidP="00CC5E7B">
      <w:pPr>
        <w:ind w:firstLine="720"/>
        <w:jc w:val="both"/>
        <w:rPr>
          <w:rFonts w:ascii="Times New Roman" w:hAnsi="Times New Roman"/>
        </w:rPr>
      </w:pPr>
    </w:p>
    <w:p w14:paraId="77810097" w14:textId="77777777" w:rsidR="00CC5E7B" w:rsidRPr="00CC5E7B" w:rsidRDefault="00CC5E7B" w:rsidP="00CC5E7B">
      <w:pPr>
        <w:ind w:firstLine="720"/>
        <w:jc w:val="both"/>
        <w:rPr>
          <w:rFonts w:ascii="Times New Roman" w:hAnsi="Times New Roman"/>
        </w:rPr>
      </w:pPr>
      <w:r w:rsidRPr="00CC5E7B">
        <w:rPr>
          <w:rFonts w:ascii="Times New Roman" w:hAnsi="Times New Roman"/>
        </w:rPr>
        <w:t>Therefore, this study aims to analyze the essential soft skills required by Industry 4.0 and to examine appropriate approaches for developing these competencies within vocational higher education. Specifically, this study explores simulation-based learning as a learning approach that integrates authentic practice with digital technologies to enhance students' readiness for the future workforce. The findings are expected to contribute to the development of vocational education by providing recommendations for curriculum designers, educators, and policymakers in preparing graduates who are not only technically competent but also equipped with the soft skills necessary to succeed in the rapidly changing industrial landscape.</w:t>
      </w:r>
    </w:p>
    <w:p w14:paraId="10F72B4F" w14:textId="2B008D81" w:rsidR="00F37CD0" w:rsidRPr="003E7FB2" w:rsidRDefault="00F37CD0" w:rsidP="00CC5E7B">
      <w:pPr>
        <w:ind w:firstLine="720"/>
        <w:jc w:val="both"/>
        <w:rPr>
          <w:rFonts w:ascii="Times New Roman" w:hAnsi="Times New Roman"/>
        </w:rPr>
      </w:pPr>
    </w:p>
    <w:p w14:paraId="75453D54" w14:textId="77777777" w:rsidR="00F37CD0" w:rsidRPr="003E7FB2" w:rsidRDefault="00F37CD0">
      <w:pPr>
        <w:jc w:val="both"/>
        <w:rPr>
          <w:rFonts w:ascii="Times New Roman" w:hAnsi="Times New Roman"/>
        </w:rPr>
      </w:pPr>
    </w:p>
    <w:p w14:paraId="7C4EB23A" w14:textId="01AF6F12" w:rsidR="00F37CD0" w:rsidRPr="003E7FB2" w:rsidRDefault="00000000">
      <w:pPr>
        <w:numPr>
          <w:ilvl w:val="0"/>
          <w:numId w:val="2"/>
        </w:numPr>
        <w:tabs>
          <w:tab w:val="left" w:pos="426"/>
        </w:tabs>
        <w:ind w:left="426" w:hanging="426"/>
        <w:rPr>
          <w:rFonts w:ascii="Times New Roman" w:hAnsi="Times New Roman"/>
          <w:b/>
        </w:rPr>
      </w:pPr>
      <w:r w:rsidRPr="003E7FB2">
        <w:rPr>
          <w:rFonts w:ascii="Times New Roman" w:hAnsi="Times New Roman"/>
          <w:b/>
        </w:rPr>
        <w:t xml:space="preserve">METHOD </w:t>
      </w:r>
    </w:p>
    <w:p w14:paraId="3485E6DD" w14:textId="7326C8C2" w:rsidR="00CC5E7B" w:rsidRPr="00CC5E7B" w:rsidRDefault="00CC5E7B" w:rsidP="00CC5E7B">
      <w:pPr>
        <w:ind w:firstLine="720"/>
        <w:jc w:val="both"/>
        <w:rPr>
          <w:rFonts w:ascii="Times New Roman" w:hAnsi="Times New Roman"/>
        </w:rPr>
      </w:pPr>
      <w:bookmarkStart w:id="2" w:name="_heading=h.tyjcwt" w:colFirst="0" w:colLast="0"/>
      <w:bookmarkEnd w:id="2"/>
      <w:r w:rsidRPr="00CC5E7B">
        <w:rPr>
          <w:rFonts w:ascii="Times New Roman" w:hAnsi="Times New Roman"/>
        </w:rPr>
        <w:t xml:space="preserve">This study employed a qualitative research design using a literature review approach to examine the development of soft skills in vocational higher education within the context of Industry 4.0. A literature review was selected because it enables researchers to synthesize and critically analyze previous studies to identify current knowledge, research trends, and gaps related to the research topic. This approach provides a comprehensive understanding of the competencies required by the industrial sector and the learning strategies that can support their development. </w:t>
      </w:r>
    </w:p>
    <w:p w14:paraId="0FF67724" w14:textId="77777777" w:rsidR="00CC5E7B" w:rsidRPr="00CC5E7B" w:rsidRDefault="00CC5E7B" w:rsidP="00CC5E7B">
      <w:pPr>
        <w:ind w:firstLine="720"/>
        <w:jc w:val="both"/>
        <w:rPr>
          <w:rFonts w:ascii="Times New Roman" w:hAnsi="Times New Roman"/>
        </w:rPr>
      </w:pPr>
      <w:r w:rsidRPr="00CC5E7B">
        <w:rPr>
          <w:rFonts w:ascii="Times New Roman" w:hAnsi="Times New Roman"/>
        </w:rPr>
        <w:t>The data used in this study were obtained from secondary sources, including peer-reviewed journal articles, academic books, conference proceedings, and relevant research reports discussing Industry 4.0, vocational education, soft skills, and instructional innovation. The selected literature focused on publications addressing workforce competency requirements and educational strategies relevant to vocational higher education. The collected references were reviewed to ensure their relevance to the research objectives.</w:t>
      </w:r>
    </w:p>
    <w:p w14:paraId="7D456529" w14:textId="77777777" w:rsidR="00CC5E7B" w:rsidRPr="00CC5E7B" w:rsidRDefault="00CC5E7B" w:rsidP="00CC5E7B">
      <w:pPr>
        <w:ind w:firstLine="720"/>
        <w:jc w:val="both"/>
        <w:rPr>
          <w:rFonts w:ascii="Times New Roman" w:hAnsi="Times New Roman"/>
        </w:rPr>
      </w:pPr>
      <w:r w:rsidRPr="00CC5E7B">
        <w:rPr>
          <w:rFonts w:ascii="Times New Roman" w:hAnsi="Times New Roman"/>
        </w:rPr>
        <w:t xml:space="preserve">The data collection process consisted of three stages. First, relevant literature was identified through systematic searches using keywords related to </w:t>
      </w:r>
      <w:r w:rsidRPr="00CC5E7B">
        <w:rPr>
          <w:rFonts w:ascii="Times New Roman" w:hAnsi="Times New Roman"/>
          <w:i/>
          <w:iCs/>
        </w:rPr>
        <w:t>Industry 4.0</w:t>
      </w:r>
      <w:r w:rsidRPr="00CC5E7B">
        <w:rPr>
          <w:rFonts w:ascii="Times New Roman" w:hAnsi="Times New Roman"/>
        </w:rPr>
        <w:t xml:space="preserve">, </w:t>
      </w:r>
      <w:r w:rsidRPr="00CC5E7B">
        <w:rPr>
          <w:rFonts w:ascii="Times New Roman" w:hAnsi="Times New Roman"/>
          <w:i/>
          <w:iCs/>
        </w:rPr>
        <w:t>vocational education</w:t>
      </w:r>
      <w:r w:rsidRPr="00CC5E7B">
        <w:rPr>
          <w:rFonts w:ascii="Times New Roman" w:hAnsi="Times New Roman"/>
        </w:rPr>
        <w:t xml:space="preserve">, </w:t>
      </w:r>
      <w:r w:rsidRPr="00CC5E7B">
        <w:rPr>
          <w:rFonts w:ascii="Times New Roman" w:hAnsi="Times New Roman"/>
          <w:i/>
          <w:iCs/>
        </w:rPr>
        <w:t>soft skills</w:t>
      </w:r>
      <w:r w:rsidRPr="00CC5E7B">
        <w:rPr>
          <w:rFonts w:ascii="Times New Roman" w:hAnsi="Times New Roman"/>
        </w:rPr>
        <w:t xml:space="preserve">, and </w:t>
      </w:r>
      <w:r w:rsidRPr="00CC5E7B">
        <w:rPr>
          <w:rFonts w:ascii="Times New Roman" w:hAnsi="Times New Roman"/>
          <w:i/>
          <w:iCs/>
        </w:rPr>
        <w:t>simulation-based learning</w:t>
      </w:r>
      <w:r w:rsidRPr="00CC5E7B">
        <w:rPr>
          <w:rFonts w:ascii="Times New Roman" w:hAnsi="Times New Roman"/>
        </w:rPr>
        <w:t xml:space="preserve">. Second, the identified publications were screened based on their relevance to the research objectives and their contribution to understanding workforce competency development. Finally, the selected literature was organized according to major themes representing the competencies required by Industry 4.0 and the instructional approaches used to develop those competencies. </w:t>
      </w:r>
    </w:p>
    <w:p w14:paraId="6A46C1DD" w14:textId="77777777" w:rsidR="00CC5E7B" w:rsidRPr="00CC5E7B" w:rsidRDefault="00CC5E7B" w:rsidP="00CC5E7B">
      <w:pPr>
        <w:ind w:firstLine="720"/>
        <w:jc w:val="both"/>
        <w:rPr>
          <w:rFonts w:ascii="Times New Roman" w:hAnsi="Times New Roman"/>
        </w:rPr>
      </w:pPr>
      <w:r w:rsidRPr="00CC5E7B">
        <w:rPr>
          <w:rFonts w:ascii="Times New Roman" w:hAnsi="Times New Roman"/>
        </w:rPr>
        <w:t>Data were analyzed using qualitative content analysis. The analysis involved reading each selected source thoroughly, coding important findings, grouping similar concepts into thematic categories, and interpreting relationships among the identified themes. The analysis focused on two major aspects: (1) identifying the essential soft skills required by Industry 4.0 and (2) examining learning approaches that effectively facilitate soft skill development in vocational higher education. The synthesized findings were then interpreted to formulate recommendations for strengthening vocational education in response to current industrial transformation.</w:t>
      </w:r>
    </w:p>
    <w:p w14:paraId="1E9EE022" w14:textId="77777777" w:rsidR="00CC5E7B" w:rsidRDefault="00CC5E7B" w:rsidP="00CC5E7B">
      <w:pPr>
        <w:ind w:firstLine="720"/>
        <w:jc w:val="both"/>
        <w:rPr>
          <w:rFonts w:ascii="Times New Roman" w:hAnsi="Times New Roman"/>
        </w:rPr>
      </w:pPr>
      <w:r w:rsidRPr="00CC5E7B">
        <w:rPr>
          <w:rFonts w:ascii="Times New Roman" w:hAnsi="Times New Roman"/>
        </w:rPr>
        <w:t xml:space="preserve">The overall research procedure consisted of five sequential stages: (1) identifying the research problem, (2) collecting relevant literature, (3) screening and selecting eligible references, (4) conducting thematic content analysis, and (5) synthesizing the findings to develop recommendations for vocational education practices in the </w:t>
      </w:r>
      <w:proofErr w:type="gramStart"/>
      <w:r w:rsidRPr="00CC5E7B">
        <w:rPr>
          <w:rFonts w:ascii="Times New Roman" w:hAnsi="Times New Roman"/>
        </w:rPr>
        <w:t>Industry</w:t>
      </w:r>
      <w:proofErr w:type="gramEnd"/>
      <w:r w:rsidRPr="00CC5E7B">
        <w:rPr>
          <w:rFonts w:ascii="Times New Roman" w:hAnsi="Times New Roman"/>
        </w:rPr>
        <w:t xml:space="preserve"> 4.0 era.</w:t>
      </w:r>
    </w:p>
    <w:p w14:paraId="68CB9802" w14:textId="77777777" w:rsidR="00CC5E7B" w:rsidRDefault="00CC5E7B" w:rsidP="00CC5E7B">
      <w:pPr>
        <w:pStyle w:val="references"/>
        <w:numPr>
          <w:ilvl w:val="0"/>
          <w:numId w:val="0"/>
        </w:numPr>
        <w:ind w:left="720"/>
      </w:pPr>
    </w:p>
    <w:p w14:paraId="4A40CB49" w14:textId="41A40BA2" w:rsidR="00F37CD0" w:rsidRPr="00CC5E7B" w:rsidRDefault="00000000" w:rsidP="00CC5E7B">
      <w:pPr>
        <w:pStyle w:val="references"/>
        <w:ind w:left="284"/>
        <w:rPr>
          <w:sz w:val="20"/>
        </w:rPr>
      </w:pPr>
      <w:r w:rsidRPr="00CC5E7B">
        <w:rPr>
          <w:rFonts w:asciiTheme="majorBidi" w:hAnsiTheme="majorBidi" w:cstheme="majorBidi"/>
          <w:b/>
          <w:bCs/>
          <w:sz w:val="20"/>
        </w:rPr>
        <w:t>RESULTS AND DISCUSSION</w:t>
      </w:r>
    </w:p>
    <w:p w14:paraId="23792455" w14:textId="77777777" w:rsidR="00CC5E7B" w:rsidRPr="00CC5E7B" w:rsidRDefault="00000000" w:rsidP="00CC5E7B">
      <w:pPr>
        <w:ind w:firstLine="720"/>
        <w:jc w:val="both"/>
        <w:rPr>
          <w:rFonts w:ascii="Times New Roman" w:hAnsi="Times New Roman"/>
        </w:rPr>
      </w:pPr>
      <w:bookmarkStart w:id="3" w:name="_heading=h.3dy6vkm" w:colFirst="0" w:colLast="0"/>
      <w:bookmarkEnd w:id="3"/>
      <w:r w:rsidRPr="003E7FB2">
        <w:rPr>
          <w:rFonts w:ascii="Times New Roman" w:hAnsi="Times New Roman"/>
        </w:rPr>
        <w:t xml:space="preserve">In </w:t>
      </w:r>
      <w:r w:rsidR="00CC5E7B" w:rsidRPr="00CC5E7B">
        <w:rPr>
          <w:rFonts w:ascii="Times New Roman" w:hAnsi="Times New Roman"/>
        </w:rPr>
        <w:t xml:space="preserve">This study synthesized findings from previous literature to identify the soft skills required by Industry 4.0 and to examine instructional approaches that effectively support their development in vocational higher education. The analysis indicates that technological transformation has shifted workforce demands beyond technical expertise toward competencies that enable graduates to adapt, collaborate, and solve </w:t>
      </w:r>
      <w:r w:rsidR="00CC5E7B" w:rsidRPr="00CC5E7B">
        <w:rPr>
          <w:rFonts w:ascii="Times New Roman" w:hAnsi="Times New Roman"/>
        </w:rPr>
        <w:lastRenderedPageBreak/>
        <w:t xml:space="preserve">increasingly complex problems. Three major competency domains consistently emerged across the reviewed literature: </w:t>
      </w:r>
      <w:r w:rsidR="00CC5E7B" w:rsidRPr="00CC5E7B">
        <w:rPr>
          <w:rFonts w:ascii="Times New Roman" w:hAnsi="Times New Roman"/>
          <w:b/>
          <w:bCs/>
        </w:rPr>
        <w:t>critical thinking and problem-solving</w:t>
      </w:r>
      <w:r w:rsidR="00CC5E7B" w:rsidRPr="00CC5E7B">
        <w:rPr>
          <w:rFonts w:ascii="Times New Roman" w:hAnsi="Times New Roman"/>
        </w:rPr>
        <w:t xml:space="preserve">, </w:t>
      </w:r>
      <w:r w:rsidR="00CC5E7B" w:rsidRPr="00CC5E7B">
        <w:rPr>
          <w:rFonts w:ascii="Times New Roman" w:hAnsi="Times New Roman"/>
          <w:b/>
          <w:bCs/>
        </w:rPr>
        <w:t>communication and collaboration</w:t>
      </w:r>
      <w:r w:rsidR="00CC5E7B" w:rsidRPr="00CC5E7B">
        <w:rPr>
          <w:rFonts w:ascii="Times New Roman" w:hAnsi="Times New Roman"/>
        </w:rPr>
        <w:t xml:space="preserve">, and </w:t>
      </w:r>
      <w:r w:rsidR="00CC5E7B" w:rsidRPr="00CC5E7B">
        <w:rPr>
          <w:rFonts w:ascii="Times New Roman" w:hAnsi="Times New Roman"/>
          <w:b/>
          <w:bCs/>
        </w:rPr>
        <w:t>emotional intelligence</w:t>
      </w:r>
      <w:r w:rsidR="00CC5E7B" w:rsidRPr="00CC5E7B">
        <w:rPr>
          <w:rFonts w:ascii="Times New Roman" w:hAnsi="Times New Roman"/>
        </w:rPr>
        <w:t>. Furthermore, the analysis revealed that simulation-based learning represents one of the most appropriate pedagogical approaches for developing these competencies within vocational education.</w:t>
      </w:r>
    </w:p>
    <w:p w14:paraId="79738BD8" w14:textId="3EF294E6" w:rsidR="00CC5E7B" w:rsidRPr="00CC5E7B" w:rsidRDefault="00CC5E7B" w:rsidP="00CC5E7B">
      <w:pPr>
        <w:ind w:firstLine="720"/>
        <w:jc w:val="both"/>
        <w:rPr>
          <w:rFonts w:ascii="Times New Roman" w:hAnsi="Times New Roman"/>
        </w:rPr>
      </w:pPr>
    </w:p>
    <w:p w14:paraId="60C8DBCC" w14:textId="77777777" w:rsidR="00CC5E7B" w:rsidRPr="00CC5E7B" w:rsidRDefault="00CC5E7B" w:rsidP="00CC5E7B">
      <w:pPr>
        <w:ind w:firstLine="720"/>
        <w:jc w:val="both"/>
        <w:rPr>
          <w:rFonts w:ascii="Times New Roman" w:hAnsi="Times New Roman"/>
          <w:b/>
          <w:bCs/>
        </w:rPr>
      </w:pPr>
      <w:r w:rsidRPr="00CC5E7B">
        <w:rPr>
          <w:rFonts w:ascii="Times New Roman" w:hAnsi="Times New Roman"/>
          <w:b/>
          <w:bCs/>
        </w:rPr>
        <w:t>3.1 Critical Thinking and Problem-Solving Skills</w:t>
      </w:r>
    </w:p>
    <w:p w14:paraId="14A5048B" w14:textId="77777777" w:rsidR="00CC5E7B" w:rsidRPr="00CC5E7B" w:rsidRDefault="00CC5E7B" w:rsidP="00CC5E7B">
      <w:pPr>
        <w:ind w:firstLine="720"/>
        <w:jc w:val="both"/>
        <w:rPr>
          <w:rFonts w:ascii="Times New Roman" w:hAnsi="Times New Roman"/>
        </w:rPr>
      </w:pPr>
      <w:r w:rsidRPr="00CC5E7B">
        <w:rPr>
          <w:rFonts w:ascii="Times New Roman" w:hAnsi="Times New Roman"/>
        </w:rPr>
        <w:t xml:space="preserve">The findings demonstrate that critical thinking and problem-solving are among the most frequently identified competencies required by Industry 4.0. The integration of automation, artificial intelligence, and digital technologies has increased the complexity of workplace challenges, requiring employees to analyze information, evaluate alternatives, and make effective decisions within dynamic environments. Consequently, vocational graduates are expected not only to master technical procedures but also to demonstrate higher-order thinking skills that enable continuous adaptation to technological change. </w:t>
      </w:r>
    </w:p>
    <w:p w14:paraId="19ABFD66" w14:textId="77777777" w:rsidR="00CC5E7B" w:rsidRPr="00CC5E7B" w:rsidRDefault="00CC5E7B" w:rsidP="00CC5E7B">
      <w:pPr>
        <w:ind w:firstLine="720"/>
        <w:jc w:val="both"/>
        <w:rPr>
          <w:rFonts w:ascii="Times New Roman" w:hAnsi="Times New Roman"/>
        </w:rPr>
      </w:pPr>
      <w:r w:rsidRPr="00CC5E7B">
        <w:rPr>
          <w:rFonts w:ascii="Times New Roman" w:hAnsi="Times New Roman"/>
        </w:rPr>
        <w:t>The reviewed studies consistently emphasize that critical thinking enables individuals to identify workplace problems systematically, while problem-solving skills support the development of innovative and practical solutions. These competencies contribute directly to workplace productivity because employees increasingly encounter situations requiring analytical reasoning rather than routine task execution. Therefore, vocational education should integrate authentic learning activities that encourage inquiry, analysis, reflection, and decision-making throughout the learning process instead of emphasizing procedural knowledge alone.</w:t>
      </w:r>
    </w:p>
    <w:p w14:paraId="7624EEAB" w14:textId="77777777" w:rsidR="00CC5E7B" w:rsidRPr="00CC5E7B" w:rsidRDefault="00CC5E7B" w:rsidP="00CC5E7B">
      <w:pPr>
        <w:ind w:firstLine="720"/>
        <w:jc w:val="both"/>
        <w:rPr>
          <w:rFonts w:ascii="Times New Roman" w:hAnsi="Times New Roman"/>
        </w:rPr>
      </w:pPr>
      <w:r w:rsidRPr="00CC5E7B">
        <w:rPr>
          <w:rFonts w:ascii="Times New Roman" w:hAnsi="Times New Roman"/>
        </w:rPr>
        <w:t>The present findings support previous research highlighting critical thinking as one of the essential competencies for future employment. Rather than viewing soft skills as complementary attributes, Industry 4.0 positions these competencies as fundamental requirements for sustainable employability.</w:t>
      </w:r>
    </w:p>
    <w:p w14:paraId="01E5144E" w14:textId="76809C21" w:rsidR="00CC5E7B" w:rsidRPr="00CC5E7B" w:rsidRDefault="00CC5E7B" w:rsidP="00CC5E7B">
      <w:pPr>
        <w:ind w:firstLine="720"/>
        <w:jc w:val="both"/>
        <w:rPr>
          <w:rFonts w:ascii="Times New Roman" w:hAnsi="Times New Roman"/>
        </w:rPr>
      </w:pPr>
    </w:p>
    <w:p w14:paraId="4C48A351" w14:textId="77777777" w:rsidR="00CC5E7B" w:rsidRPr="00CC5E7B" w:rsidRDefault="00CC5E7B" w:rsidP="00CC5E7B">
      <w:pPr>
        <w:ind w:firstLine="720"/>
        <w:jc w:val="both"/>
        <w:rPr>
          <w:rFonts w:ascii="Times New Roman" w:hAnsi="Times New Roman"/>
          <w:b/>
          <w:bCs/>
        </w:rPr>
      </w:pPr>
      <w:r w:rsidRPr="00CC5E7B">
        <w:rPr>
          <w:rFonts w:ascii="Times New Roman" w:hAnsi="Times New Roman"/>
          <w:b/>
          <w:bCs/>
        </w:rPr>
        <w:t>3.2 Communication and Collaboration Skills</w:t>
      </w:r>
    </w:p>
    <w:p w14:paraId="19AE3000" w14:textId="77777777" w:rsidR="00CC5E7B" w:rsidRPr="00CC5E7B" w:rsidRDefault="00CC5E7B" w:rsidP="00CC5E7B">
      <w:pPr>
        <w:ind w:firstLine="720"/>
        <w:jc w:val="both"/>
        <w:rPr>
          <w:rFonts w:ascii="Times New Roman" w:hAnsi="Times New Roman"/>
        </w:rPr>
      </w:pPr>
      <w:r w:rsidRPr="00CC5E7B">
        <w:rPr>
          <w:rFonts w:ascii="Times New Roman" w:hAnsi="Times New Roman"/>
        </w:rPr>
        <w:t xml:space="preserve">Another significant finding concerns the growing importance of communication and collaboration skills. Digital transformation has changed organizational structures into more collaborative and interdisciplinary environments where employees interact across different professional backgrounds and geographical locations. As a result, graduates are expected to communicate effectively, both face-to-face and through digital communication platforms. </w:t>
      </w:r>
    </w:p>
    <w:p w14:paraId="4A7424C0" w14:textId="77777777" w:rsidR="00CC5E7B" w:rsidRPr="00CC5E7B" w:rsidRDefault="00CC5E7B" w:rsidP="00CC5E7B">
      <w:pPr>
        <w:ind w:firstLine="720"/>
        <w:jc w:val="both"/>
        <w:rPr>
          <w:rFonts w:ascii="Times New Roman" w:hAnsi="Times New Roman"/>
        </w:rPr>
      </w:pPr>
      <w:r w:rsidRPr="00CC5E7B">
        <w:rPr>
          <w:rFonts w:ascii="Times New Roman" w:hAnsi="Times New Roman"/>
        </w:rPr>
        <w:t>The reviewed literature indicates that communication extends beyond the ability to exchange information. Effective communication also includes active listening, constructive feedback, negotiation, presentation skills, and professional interaction with diverse stakeholders. Similarly, collaboration now requires digital literacy because teamwork increasingly occurs through virtual platforms, cloud-based applications, and online project management systems.</w:t>
      </w:r>
    </w:p>
    <w:p w14:paraId="64B2AECB" w14:textId="77777777" w:rsidR="00CC5E7B" w:rsidRPr="00CC5E7B" w:rsidRDefault="00CC5E7B" w:rsidP="00CC5E7B">
      <w:pPr>
        <w:ind w:firstLine="720"/>
        <w:jc w:val="both"/>
        <w:rPr>
          <w:rFonts w:ascii="Times New Roman" w:hAnsi="Times New Roman"/>
        </w:rPr>
      </w:pPr>
      <w:r w:rsidRPr="00CC5E7B">
        <w:rPr>
          <w:rFonts w:ascii="Times New Roman" w:hAnsi="Times New Roman"/>
        </w:rPr>
        <w:t>These findings suggest that vocational education institutions should redesign learning environments to provide collaborative learning experiences. Project-based learning, collaborative assignments, interdisciplinary projects, and industry-based case studies offer valuable opportunities for students to strengthen communication and teamwork competencies while simultaneously improving professional confidence.</w:t>
      </w:r>
    </w:p>
    <w:p w14:paraId="35E881CE" w14:textId="79F992C6" w:rsidR="00CC5E7B" w:rsidRPr="00CC5E7B" w:rsidRDefault="00CC5E7B" w:rsidP="00CC5E7B">
      <w:pPr>
        <w:ind w:firstLine="720"/>
        <w:jc w:val="both"/>
        <w:rPr>
          <w:rFonts w:ascii="Times New Roman" w:hAnsi="Times New Roman"/>
        </w:rPr>
      </w:pPr>
    </w:p>
    <w:p w14:paraId="33C8906E" w14:textId="77777777" w:rsidR="00CC5E7B" w:rsidRPr="00CC5E7B" w:rsidRDefault="00CC5E7B" w:rsidP="00CC5E7B">
      <w:pPr>
        <w:ind w:firstLine="720"/>
        <w:jc w:val="both"/>
        <w:rPr>
          <w:rFonts w:ascii="Times New Roman" w:hAnsi="Times New Roman"/>
          <w:b/>
          <w:bCs/>
        </w:rPr>
      </w:pPr>
      <w:r w:rsidRPr="00CC5E7B">
        <w:rPr>
          <w:rFonts w:ascii="Times New Roman" w:hAnsi="Times New Roman"/>
          <w:b/>
          <w:bCs/>
        </w:rPr>
        <w:t>3.3 Emotional Intelligence as a Workforce Competency</w:t>
      </w:r>
    </w:p>
    <w:p w14:paraId="3059A893" w14:textId="77777777" w:rsidR="00CC5E7B" w:rsidRPr="00CC5E7B" w:rsidRDefault="00CC5E7B" w:rsidP="00CC5E7B">
      <w:pPr>
        <w:ind w:firstLine="720"/>
        <w:jc w:val="both"/>
        <w:rPr>
          <w:rFonts w:ascii="Times New Roman" w:hAnsi="Times New Roman"/>
        </w:rPr>
      </w:pPr>
      <w:r w:rsidRPr="00CC5E7B">
        <w:rPr>
          <w:rFonts w:ascii="Times New Roman" w:hAnsi="Times New Roman"/>
        </w:rPr>
        <w:t xml:space="preserve">Besides cognitive competencies, emotional intelligence emerged as another important soft skill demanded in Industry 4.0. Although technological capabilities continue to expand, workplace performance remains highly dependent on human interaction, adaptability, and emotional regulation. Emotional intelligence enables individuals to manage stress, maintain motivation, resolve interpersonal conflicts, and build productive professional relationships. </w:t>
      </w:r>
    </w:p>
    <w:p w14:paraId="7AA4D65B" w14:textId="77777777" w:rsidR="00CC5E7B" w:rsidRPr="00CC5E7B" w:rsidRDefault="00CC5E7B" w:rsidP="00CC5E7B">
      <w:pPr>
        <w:ind w:firstLine="720"/>
        <w:jc w:val="both"/>
        <w:rPr>
          <w:rFonts w:ascii="Times New Roman" w:hAnsi="Times New Roman"/>
        </w:rPr>
      </w:pPr>
      <w:r w:rsidRPr="00CC5E7B">
        <w:rPr>
          <w:rFonts w:ascii="Times New Roman" w:hAnsi="Times New Roman"/>
        </w:rPr>
        <w:t>The literature demonstrates that emotionally intelligent graduates tend to adapt more successfully to organizational changes because they are capable of balancing technical responsibilities with social interaction. In highly dynamic work environments, employees frequently collaborate within multidisciplinary teams where interpersonal competence significantly influences organizational performance. Consequently, emotional intelligence should receive equal attention alongside technical competence within vocational education curricula.</w:t>
      </w:r>
    </w:p>
    <w:p w14:paraId="20C061CA" w14:textId="77777777" w:rsidR="00CC5E7B" w:rsidRPr="00CC5E7B" w:rsidRDefault="00CC5E7B" w:rsidP="00CC5E7B">
      <w:pPr>
        <w:ind w:firstLine="720"/>
        <w:jc w:val="both"/>
        <w:rPr>
          <w:rFonts w:ascii="Times New Roman" w:hAnsi="Times New Roman"/>
        </w:rPr>
      </w:pPr>
      <w:r w:rsidRPr="00CC5E7B">
        <w:rPr>
          <w:rFonts w:ascii="Times New Roman" w:hAnsi="Times New Roman"/>
        </w:rPr>
        <w:t>These findings reinforce the perspective that graduate employability depends not only on knowledge acquisition but also on the ability to interact effectively with colleagues, clients, and organizational stakeholders.</w:t>
      </w:r>
    </w:p>
    <w:p w14:paraId="0F743842" w14:textId="5E262F83" w:rsidR="00CC5E7B" w:rsidRPr="00CC5E7B" w:rsidRDefault="00CC5E7B" w:rsidP="00CC5E7B">
      <w:pPr>
        <w:ind w:firstLine="720"/>
        <w:jc w:val="both"/>
        <w:rPr>
          <w:rFonts w:ascii="Times New Roman" w:hAnsi="Times New Roman"/>
        </w:rPr>
      </w:pPr>
    </w:p>
    <w:p w14:paraId="789F0674" w14:textId="77777777" w:rsidR="00CC5E7B" w:rsidRPr="00CC5E7B" w:rsidRDefault="00CC5E7B" w:rsidP="00CC5E7B">
      <w:pPr>
        <w:ind w:firstLine="720"/>
        <w:jc w:val="both"/>
        <w:rPr>
          <w:rFonts w:ascii="Times New Roman" w:hAnsi="Times New Roman"/>
          <w:b/>
          <w:bCs/>
        </w:rPr>
      </w:pPr>
      <w:r w:rsidRPr="00CC5E7B">
        <w:rPr>
          <w:rFonts w:ascii="Times New Roman" w:hAnsi="Times New Roman"/>
          <w:b/>
          <w:bCs/>
        </w:rPr>
        <w:t>3.4 Simulation-Based Learning for Soft Skill Development</w:t>
      </w:r>
    </w:p>
    <w:p w14:paraId="07C77F1D" w14:textId="77777777" w:rsidR="00CC5E7B" w:rsidRPr="00CC5E7B" w:rsidRDefault="00CC5E7B" w:rsidP="00CC5E7B">
      <w:pPr>
        <w:ind w:firstLine="720"/>
        <w:jc w:val="both"/>
        <w:rPr>
          <w:rFonts w:ascii="Times New Roman" w:hAnsi="Times New Roman"/>
        </w:rPr>
      </w:pPr>
      <w:r w:rsidRPr="00CC5E7B">
        <w:rPr>
          <w:rFonts w:ascii="Times New Roman" w:hAnsi="Times New Roman"/>
        </w:rPr>
        <w:t xml:space="preserve">The final finding concerns instructional strategies capable of facilitating soft skill development. Among various pedagogical approaches identified in the literature, simulation-based learning (SBL) appears to provide the strongest alignment with Industry 4.0 characteristics. This approach creates authentic learning </w:t>
      </w:r>
      <w:r w:rsidRPr="00CC5E7B">
        <w:rPr>
          <w:rFonts w:ascii="Times New Roman" w:hAnsi="Times New Roman"/>
        </w:rPr>
        <w:lastRenderedPageBreak/>
        <w:t xml:space="preserve">experiences by allowing students to participate in realistic professional situations while integrating digital technologies, virtual environments, and practical decision-making activities. </w:t>
      </w:r>
    </w:p>
    <w:p w14:paraId="0B642F77" w14:textId="77777777" w:rsidR="00CC5E7B" w:rsidRPr="00CC5E7B" w:rsidRDefault="00CC5E7B" w:rsidP="00CC5E7B">
      <w:pPr>
        <w:ind w:firstLine="720"/>
        <w:jc w:val="both"/>
        <w:rPr>
          <w:rFonts w:ascii="Times New Roman" w:hAnsi="Times New Roman"/>
        </w:rPr>
      </w:pPr>
      <w:r w:rsidRPr="00CC5E7B">
        <w:rPr>
          <w:rFonts w:ascii="Times New Roman" w:hAnsi="Times New Roman"/>
        </w:rPr>
        <w:t>Simulation-based learning supports simultaneous development of technical and non-technical competencies. During simulation activities, students are required to communicate, collaborate, solve unexpected problems, make decisions under pressure, and reflect upon their performance. These learning experiences closely resemble workplace situations, thereby reducing the gap between academic learning and industrial practice.</w:t>
      </w:r>
    </w:p>
    <w:p w14:paraId="1D7D96FD" w14:textId="77777777" w:rsidR="00CC5E7B" w:rsidRPr="00CC5E7B" w:rsidRDefault="00CC5E7B" w:rsidP="00CC5E7B">
      <w:pPr>
        <w:ind w:firstLine="720"/>
        <w:jc w:val="both"/>
        <w:rPr>
          <w:rFonts w:ascii="Times New Roman" w:hAnsi="Times New Roman"/>
        </w:rPr>
      </w:pPr>
      <w:r w:rsidRPr="00CC5E7B">
        <w:rPr>
          <w:rFonts w:ascii="Times New Roman" w:hAnsi="Times New Roman"/>
        </w:rPr>
        <w:t>Another advantage of simulation-based learning is its flexibility in utilizing emerging technologies such as virtual simulation, augmented reality, artificial intelligence, and digital laboratories. These technologies provide opportunities for repeated practice without exposing learners to workplace risks, while simultaneously improving confidence, adaptability, and professional readiness.</w:t>
      </w:r>
    </w:p>
    <w:p w14:paraId="76162892" w14:textId="77777777" w:rsidR="00CC5E7B" w:rsidRPr="00CC5E7B" w:rsidRDefault="00CC5E7B" w:rsidP="00CC5E7B">
      <w:pPr>
        <w:ind w:firstLine="720"/>
        <w:jc w:val="both"/>
        <w:rPr>
          <w:rFonts w:ascii="Times New Roman" w:hAnsi="Times New Roman"/>
        </w:rPr>
      </w:pPr>
      <w:r w:rsidRPr="00CC5E7B">
        <w:rPr>
          <w:rFonts w:ascii="Times New Roman" w:hAnsi="Times New Roman"/>
        </w:rPr>
        <w:t>Overall, the findings suggest that simulation-based learning represents an effective instructional strategy for strengthening soft skills in vocational higher education. Integrating this approach into vocational curricula can enhance graduate preparedness to meet the competency demands of Industry 4.0 while supporting lifelong learning and professional adaptability.</w:t>
      </w:r>
    </w:p>
    <w:p w14:paraId="44E305D9" w14:textId="4B1F5FE0" w:rsidR="00F37CD0" w:rsidRPr="003E7FB2" w:rsidRDefault="00F37CD0" w:rsidP="00CC5E7B">
      <w:pPr>
        <w:ind w:firstLine="720"/>
        <w:jc w:val="both"/>
        <w:rPr>
          <w:rFonts w:ascii="Times New Roman" w:hAnsi="Times New Roman"/>
        </w:rPr>
      </w:pPr>
    </w:p>
    <w:p w14:paraId="3F2B8C60" w14:textId="45F162F5" w:rsidR="00F37CD0" w:rsidRPr="003E7FB2" w:rsidRDefault="00000000">
      <w:pPr>
        <w:numPr>
          <w:ilvl w:val="0"/>
          <w:numId w:val="2"/>
        </w:numPr>
        <w:tabs>
          <w:tab w:val="left" w:pos="426"/>
        </w:tabs>
        <w:ind w:left="426" w:hanging="426"/>
        <w:rPr>
          <w:rFonts w:ascii="Times New Roman" w:hAnsi="Times New Roman"/>
          <w:b/>
        </w:rPr>
      </w:pPr>
      <w:r w:rsidRPr="003E7FB2">
        <w:rPr>
          <w:rFonts w:ascii="Times New Roman" w:hAnsi="Times New Roman"/>
          <w:b/>
        </w:rPr>
        <w:t>CONCLUSION</w:t>
      </w:r>
    </w:p>
    <w:p w14:paraId="7DFF3D69" w14:textId="020A98ED" w:rsidR="00CC5E7B" w:rsidRPr="00CC5E7B" w:rsidRDefault="00CC5E7B" w:rsidP="00CC5E7B">
      <w:pPr>
        <w:ind w:firstLine="709"/>
        <w:jc w:val="both"/>
        <w:rPr>
          <w:rFonts w:ascii="Times New Roman" w:hAnsi="Times New Roman"/>
        </w:rPr>
      </w:pPr>
      <w:r w:rsidRPr="00CC5E7B">
        <w:rPr>
          <w:rFonts w:ascii="Times New Roman" w:hAnsi="Times New Roman"/>
        </w:rPr>
        <w:t>This study examined the soft skills required to meet the workforce demands of Industry 4.0 and explored appropriate approaches for developing these competencies within vocational higher education. The findings demonstrate that critical thinking and problem-solving, communication and collaboration, and emotional intelligence constitute the primary soft skills expected by modern industries. These competencies complement technical expertise and enable graduates to adapt effectively to increasingly digital, collaborative, and dynamic work environments.</w:t>
      </w:r>
    </w:p>
    <w:p w14:paraId="43E3F037" w14:textId="77777777" w:rsidR="00CC5E7B" w:rsidRPr="00CC5E7B" w:rsidRDefault="00CC5E7B" w:rsidP="00CC5E7B">
      <w:pPr>
        <w:ind w:firstLine="709"/>
        <w:jc w:val="both"/>
        <w:rPr>
          <w:rFonts w:ascii="Times New Roman" w:hAnsi="Times New Roman"/>
        </w:rPr>
      </w:pPr>
      <w:r w:rsidRPr="00CC5E7B">
        <w:rPr>
          <w:rFonts w:ascii="Times New Roman" w:hAnsi="Times New Roman"/>
        </w:rPr>
        <w:t>The study further identifies simulation-based learning as an instructional approach capable of integrating technical and interpersonal competency development through authentic and technology-supported learning experiences. The implementation of this approach may strengthen graduate employability by reducing the gap between academic learning and industrial practice.</w:t>
      </w:r>
    </w:p>
    <w:p w14:paraId="1A833D55" w14:textId="77777777" w:rsidR="00CC5E7B" w:rsidRPr="00CC5E7B" w:rsidRDefault="00CC5E7B" w:rsidP="00CC5E7B">
      <w:pPr>
        <w:ind w:firstLine="709"/>
        <w:jc w:val="both"/>
        <w:rPr>
          <w:rFonts w:ascii="Times New Roman" w:hAnsi="Times New Roman"/>
        </w:rPr>
      </w:pPr>
      <w:r w:rsidRPr="00CC5E7B">
        <w:rPr>
          <w:rFonts w:ascii="Times New Roman" w:hAnsi="Times New Roman"/>
        </w:rPr>
        <w:t>The findings provide practical implications for vocational higher education institutions, curriculum developers, and educators in designing learning environments that systematically integrate soft skill development into vocational programs. Future research is recommended to investigate the effectiveness of simulation-based learning through empirical studies involving vocational students from different disciplines and educational contexts, thereby providing stronger evidence for its implementation in Industry 4.0-oriented education.</w:t>
      </w:r>
    </w:p>
    <w:p w14:paraId="3142E482" w14:textId="37D4A711" w:rsidR="00F37CD0" w:rsidRPr="003E7FB2" w:rsidRDefault="00F37CD0" w:rsidP="00CC5E7B">
      <w:pPr>
        <w:ind w:firstLine="709"/>
        <w:jc w:val="both"/>
        <w:rPr>
          <w:rFonts w:ascii="Times New Roman" w:hAnsi="Times New Roman"/>
          <w:b/>
        </w:rPr>
      </w:pPr>
    </w:p>
    <w:p w14:paraId="6E4525B1" w14:textId="77777777" w:rsidR="00F37CD0" w:rsidRPr="003E7FB2" w:rsidRDefault="00F37CD0">
      <w:pPr>
        <w:rPr>
          <w:rFonts w:ascii="Times New Roman" w:hAnsi="Times New Roman"/>
          <w:b/>
        </w:rPr>
      </w:pPr>
    </w:p>
    <w:p w14:paraId="6DC3E8AA" w14:textId="77777777" w:rsidR="00F37CD0" w:rsidRPr="003E7FB2" w:rsidRDefault="00000000">
      <w:pPr>
        <w:rPr>
          <w:rFonts w:ascii="Times New Roman" w:hAnsi="Times New Roman"/>
          <w:b/>
          <w:color w:val="000000"/>
        </w:rPr>
      </w:pPr>
      <w:r w:rsidRPr="003E7FB2">
        <w:rPr>
          <w:rFonts w:ascii="Times New Roman" w:hAnsi="Times New Roman"/>
          <w:b/>
          <w:color w:val="000000"/>
        </w:rPr>
        <w:t xml:space="preserve">ACKNOWLEDGEMENTS </w:t>
      </w:r>
      <w:r w:rsidRPr="003E7FB2">
        <w:rPr>
          <w:rFonts w:ascii="Times New Roman" w:hAnsi="Times New Roman"/>
          <w:b/>
        </w:rPr>
        <w:t>(10 PT)</w:t>
      </w:r>
    </w:p>
    <w:p w14:paraId="163817C2" w14:textId="15EF01C9" w:rsidR="00F37CD0" w:rsidRDefault="00CC5E7B" w:rsidP="00CC5E7B">
      <w:pPr>
        <w:ind w:firstLine="720"/>
        <w:jc w:val="both"/>
        <w:rPr>
          <w:rFonts w:ascii="Times New Roman" w:hAnsi="Times New Roman"/>
        </w:rPr>
      </w:pPr>
      <w:bookmarkStart w:id="4" w:name="_heading=h.4d34og8" w:colFirst="0" w:colLast="0"/>
      <w:bookmarkEnd w:id="4"/>
      <w:r w:rsidRPr="00CC5E7B">
        <w:rPr>
          <w:rFonts w:ascii="Times New Roman" w:hAnsi="Times New Roman"/>
        </w:rPr>
        <w:t>The author would like to express sincere gratitude to all researchers whose published works contributed to this study. Appreciation is also extended to colleagues and academic reviewers who provided valuable feedback throughout the preparation of this manuscript. Their insights and suggestions significantly contributed to improving the quality of this research.</w:t>
      </w:r>
    </w:p>
    <w:p w14:paraId="00F41ABD" w14:textId="77777777" w:rsidR="00F37CD0" w:rsidRPr="003E7FB2" w:rsidRDefault="00F37CD0">
      <w:pPr>
        <w:rPr>
          <w:rFonts w:ascii="Times New Roman" w:hAnsi="Times New Roman"/>
          <w:color w:val="000000"/>
        </w:rPr>
      </w:pPr>
    </w:p>
    <w:p w14:paraId="600890E9" w14:textId="77777777" w:rsidR="00F37CD0" w:rsidRPr="003E7FB2" w:rsidRDefault="00000000">
      <w:pPr>
        <w:jc w:val="both"/>
        <w:rPr>
          <w:rFonts w:ascii="Times New Roman" w:hAnsi="Times New Roman"/>
          <w:b/>
          <w:color w:val="000000"/>
        </w:rPr>
      </w:pPr>
      <w:bookmarkStart w:id="5" w:name="_heading=h.2s8eyo1" w:colFirst="0" w:colLast="0"/>
      <w:bookmarkStart w:id="6" w:name="_heading=h.26in1rg" w:colFirst="0" w:colLast="0"/>
      <w:bookmarkEnd w:id="5"/>
      <w:bookmarkEnd w:id="6"/>
      <w:r w:rsidRPr="003E7FB2">
        <w:rPr>
          <w:rFonts w:ascii="Times New Roman" w:hAnsi="Times New Roman"/>
          <w:b/>
          <w:color w:val="000000"/>
        </w:rPr>
        <w:t>REFERENCES</w:t>
      </w:r>
    </w:p>
    <w:p w14:paraId="3B4FF84C" w14:textId="77777777" w:rsidR="00CC5E7B" w:rsidRPr="001223A3" w:rsidRDefault="00CC5E7B" w:rsidP="00CC5E7B">
      <w:pPr>
        <w:widowControl w:val="0"/>
        <w:autoSpaceDE w:val="0"/>
        <w:autoSpaceDN w:val="0"/>
        <w:adjustRightInd w:val="0"/>
        <w:spacing w:before="100" w:after="100" w:line="276" w:lineRule="auto"/>
        <w:ind w:left="480" w:hanging="480"/>
        <w:jc w:val="both"/>
        <w:rPr>
          <w:rFonts w:ascii="Times New Roman" w:hAnsi="Times New Roman"/>
          <w:noProof/>
        </w:rPr>
      </w:pPr>
      <w:r w:rsidRPr="00CC5E7B">
        <w:rPr>
          <w:rFonts w:ascii="Times New Roman" w:hAnsi="Times New Roman"/>
          <w:noProof/>
        </w:rPr>
        <w:t xml:space="preserve">Chernikova, O. et al. </w:t>
      </w:r>
      <w:r w:rsidRPr="001223A3">
        <w:rPr>
          <w:rFonts w:ascii="Times New Roman" w:hAnsi="Times New Roman"/>
          <w:noProof/>
        </w:rPr>
        <w:t xml:space="preserve">(2020). Simulation-Based Learning in Higher Education: A Meta-Analysis. </w:t>
      </w:r>
      <w:r w:rsidRPr="001223A3">
        <w:rPr>
          <w:rFonts w:ascii="Times New Roman" w:hAnsi="Times New Roman"/>
          <w:i/>
          <w:iCs/>
          <w:noProof/>
        </w:rPr>
        <w:t>Review of Educational Research</w:t>
      </w:r>
      <w:r w:rsidRPr="001223A3">
        <w:rPr>
          <w:rFonts w:ascii="Times New Roman" w:hAnsi="Times New Roman"/>
          <w:noProof/>
        </w:rPr>
        <w:t xml:space="preserve">, </w:t>
      </w:r>
      <w:r w:rsidRPr="001223A3">
        <w:rPr>
          <w:rFonts w:ascii="Times New Roman" w:hAnsi="Times New Roman"/>
          <w:i/>
          <w:iCs/>
          <w:noProof/>
        </w:rPr>
        <w:t>90</w:t>
      </w:r>
      <w:r w:rsidRPr="001223A3">
        <w:rPr>
          <w:rFonts w:ascii="Times New Roman" w:hAnsi="Times New Roman"/>
          <w:noProof/>
        </w:rPr>
        <w:t>(4), 499–541. https://doi.org/10.3102/0034654320933544</w:t>
      </w:r>
    </w:p>
    <w:p w14:paraId="05F55767" w14:textId="77777777" w:rsidR="00CC5E7B" w:rsidRPr="001223A3" w:rsidRDefault="00CC5E7B" w:rsidP="00CC5E7B">
      <w:pPr>
        <w:widowControl w:val="0"/>
        <w:autoSpaceDE w:val="0"/>
        <w:autoSpaceDN w:val="0"/>
        <w:adjustRightInd w:val="0"/>
        <w:spacing w:before="100" w:after="100" w:line="276" w:lineRule="auto"/>
        <w:ind w:left="480" w:hanging="480"/>
        <w:jc w:val="both"/>
        <w:rPr>
          <w:rFonts w:ascii="Times New Roman" w:hAnsi="Times New Roman"/>
          <w:noProof/>
        </w:rPr>
      </w:pPr>
      <w:r w:rsidRPr="001223A3">
        <w:rPr>
          <w:rFonts w:ascii="Times New Roman" w:hAnsi="Times New Roman"/>
          <w:noProof/>
        </w:rPr>
        <w:t xml:space="preserve">Denney, A. S., &amp; Tewksbury, R. (2013). How to Write a Literature Review. </w:t>
      </w:r>
      <w:r w:rsidRPr="001223A3">
        <w:rPr>
          <w:rFonts w:ascii="Times New Roman" w:hAnsi="Times New Roman"/>
          <w:i/>
          <w:iCs/>
          <w:noProof/>
        </w:rPr>
        <w:t>Journal of Criminal Justice Education</w:t>
      </w:r>
      <w:r w:rsidRPr="001223A3">
        <w:rPr>
          <w:rFonts w:ascii="Times New Roman" w:hAnsi="Times New Roman"/>
          <w:noProof/>
        </w:rPr>
        <w:t xml:space="preserve">, </w:t>
      </w:r>
      <w:r w:rsidRPr="001223A3">
        <w:rPr>
          <w:rFonts w:ascii="Times New Roman" w:hAnsi="Times New Roman"/>
          <w:i/>
          <w:iCs/>
          <w:noProof/>
        </w:rPr>
        <w:t>24</w:t>
      </w:r>
      <w:r w:rsidRPr="001223A3">
        <w:rPr>
          <w:rFonts w:ascii="Times New Roman" w:hAnsi="Times New Roman"/>
          <w:noProof/>
        </w:rPr>
        <w:t>(2), 218–234. https://doi.org/10.1080/10511253.2012.730617</w:t>
      </w:r>
    </w:p>
    <w:p w14:paraId="3026AB17" w14:textId="77777777" w:rsidR="00CC5E7B" w:rsidRPr="004A1393" w:rsidRDefault="00CC5E7B" w:rsidP="00CC5E7B">
      <w:pPr>
        <w:widowControl w:val="0"/>
        <w:autoSpaceDE w:val="0"/>
        <w:autoSpaceDN w:val="0"/>
        <w:adjustRightInd w:val="0"/>
        <w:spacing w:before="100" w:after="100" w:line="276" w:lineRule="auto"/>
        <w:ind w:left="480" w:hanging="480"/>
        <w:jc w:val="both"/>
        <w:rPr>
          <w:rFonts w:ascii="Times New Roman" w:hAnsi="Times New Roman"/>
          <w:noProof/>
          <w:lang w:val="nb-NO"/>
        </w:rPr>
      </w:pPr>
      <w:r w:rsidRPr="001223A3">
        <w:rPr>
          <w:rFonts w:ascii="Times New Roman" w:hAnsi="Times New Roman"/>
          <w:noProof/>
        </w:rPr>
        <w:t xml:space="preserve">Elmasari, Y. (2022). </w:t>
      </w:r>
      <w:r w:rsidRPr="004A1393">
        <w:rPr>
          <w:rFonts w:ascii="Times New Roman" w:hAnsi="Times New Roman"/>
          <w:noProof/>
          <w:lang w:val="nb-NO"/>
        </w:rPr>
        <w:t xml:space="preserve">Inovasi Pembelajaran Metakognitif Berbasis Softskill Pada Pendidikan Vokasi Dalam Mendukung Dunia Industri 4.0. </w:t>
      </w:r>
      <w:r w:rsidRPr="004A1393">
        <w:rPr>
          <w:rFonts w:ascii="Times New Roman" w:hAnsi="Times New Roman"/>
          <w:i/>
          <w:iCs/>
          <w:noProof/>
          <w:lang w:val="nb-NO"/>
        </w:rPr>
        <w:t>JIPI (Jurnal Ilmiah Penelitian Dan Pembelajaran Informatika)</w:t>
      </w:r>
      <w:r w:rsidRPr="004A1393">
        <w:rPr>
          <w:rFonts w:ascii="Times New Roman" w:hAnsi="Times New Roman"/>
          <w:noProof/>
          <w:lang w:val="nb-NO"/>
        </w:rPr>
        <w:t xml:space="preserve">, </w:t>
      </w:r>
      <w:r w:rsidRPr="004A1393">
        <w:rPr>
          <w:rFonts w:ascii="Times New Roman" w:hAnsi="Times New Roman"/>
          <w:i/>
          <w:iCs/>
          <w:noProof/>
          <w:lang w:val="nb-NO"/>
        </w:rPr>
        <w:t>7</w:t>
      </w:r>
      <w:r w:rsidRPr="004A1393">
        <w:rPr>
          <w:rFonts w:ascii="Times New Roman" w:hAnsi="Times New Roman"/>
          <w:noProof/>
          <w:lang w:val="nb-NO"/>
        </w:rPr>
        <w:t>(4), 1385–1390. https://doi.org/10.29100/jipi.v7i4.3645</w:t>
      </w:r>
    </w:p>
    <w:p w14:paraId="567E4C53" w14:textId="77777777" w:rsidR="00CC5E7B" w:rsidRPr="001223A3" w:rsidRDefault="00CC5E7B" w:rsidP="00CC5E7B">
      <w:pPr>
        <w:widowControl w:val="0"/>
        <w:autoSpaceDE w:val="0"/>
        <w:autoSpaceDN w:val="0"/>
        <w:adjustRightInd w:val="0"/>
        <w:spacing w:before="100" w:after="100" w:line="276" w:lineRule="auto"/>
        <w:ind w:left="480" w:hanging="480"/>
        <w:jc w:val="both"/>
        <w:rPr>
          <w:rFonts w:ascii="Times New Roman" w:hAnsi="Times New Roman"/>
          <w:noProof/>
        </w:rPr>
      </w:pPr>
      <w:r w:rsidRPr="004A1393">
        <w:rPr>
          <w:rFonts w:ascii="Times New Roman" w:hAnsi="Times New Roman"/>
          <w:noProof/>
          <w:lang w:val="fi-FI"/>
        </w:rPr>
        <w:t xml:space="preserve">Fahmi Johan Syah, M. et al. </w:t>
      </w:r>
      <w:r w:rsidRPr="001223A3">
        <w:rPr>
          <w:rFonts w:ascii="Times New Roman" w:hAnsi="Times New Roman"/>
          <w:noProof/>
        </w:rPr>
        <w:t xml:space="preserve">(2020). The 21st century skills of prospective teacher students in the industrial revolution 4.0 era (the adaptation and problem-solving skill). </w:t>
      </w:r>
      <w:r w:rsidRPr="001223A3">
        <w:rPr>
          <w:rFonts w:ascii="Times New Roman" w:hAnsi="Times New Roman"/>
          <w:i/>
          <w:iCs/>
          <w:noProof/>
        </w:rPr>
        <w:t>Journal of Physics: Conference Series</w:t>
      </w:r>
      <w:r w:rsidRPr="001223A3">
        <w:rPr>
          <w:rFonts w:ascii="Times New Roman" w:hAnsi="Times New Roman"/>
          <w:noProof/>
        </w:rPr>
        <w:t xml:space="preserve">, </w:t>
      </w:r>
      <w:r w:rsidRPr="001223A3">
        <w:rPr>
          <w:rFonts w:ascii="Times New Roman" w:hAnsi="Times New Roman"/>
          <w:i/>
          <w:iCs/>
          <w:noProof/>
        </w:rPr>
        <w:t>1470</w:t>
      </w:r>
      <w:r w:rsidRPr="001223A3">
        <w:rPr>
          <w:rFonts w:ascii="Times New Roman" w:hAnsi="Times New Roman"/>
          <w:noProof/>
        </w:rPr>
        <w:t>(1), 0–9. https://doi.org/10.1088/1742-6596/1470/1/012054</w:t>
      </w:r>
    </w:p>
    <w:p w14:paraId="4642E41E" w14:textId="77777777" w:rsidR="00CC5E7B" w:rsidRPr="001223A3" w:rsidRDefault="00CC5E7B" w:rsidP="00CC5E7B">
      <w:pPr>
        <w:widowControl w:val="0"/>
        <w:autoSpaceDE w:val="0"/>
        <w:autoSpaceDN w:val="0"/>
        <w:adjustRightInd w:val="0"/>
        <w:spacing w:before="100" w:after="100" w:line="276" w:lineRule="auto"/>
        <w:ind w:left="480" w:hanging="480"/>
        <w:jc w:val="both"/>
        <w:rPr>
          <w:rFonts w:ascii="Times New Roman" w:hAnsi="Times New Roman"/>
          <w:noProof/>
        </w:rPr>
      </w:pPr>
      <w:r w:rsidRPr="001223A3">
        <w:rPr>
          <w:rFonts w:ascii="Times New Roman" w:hAnsi="Times New Roman"/>
          <w:noProof/>
        </w:rPr>
        <w:t xml:space="preserve">Galvan, Jose ; Galvan, M. (2017). </w:t>
      </w:r>
      <w:r w:rsidRPr="001223A3">
        <w:rPr>
          <w:rFonts w:ascii="Times New Roman" w:hAnsi="Times New Roman"/>
          <w:i/>
          <w:iCs/>
          <w:noProof/>
        </w:rPr>
        <w:t>Writing Literature Reviews</w:t>
      </w:r>
      <w:r w:rsidRPr="001223A3">
        <w:rPr>
          <w:rFonts w:ascii="Times New Roman" w:hAnsi="Times New Roman"/>
          <w:noProof/>
        </w:rPr>
        <w:t>.</w:t>
      </w:r>
    </w:p>
    <w:p w14:paraId="0F36362F" w14:textId="77777777" w:rsidR="00CC5E7B" w:rsidRPr="001223A3" w:rsidRDefault="00CC5E7B" w:rsidP="00CC5E7B">
      <w:pPr>
        <w:widowControl w:val="0"/>
        <w:autoSpaceDE w:val="0"/>
        <w:autoSpaceDN w:val="0"/>
        <w:adjustRightInd w:val="0"/>
        <w:spacing w:before="100" w:after="100" w:line="276" w:lineRule="auto"/>
        <w:ind w:left="480" w:hanging="480"/>
        <w:jc w:val="both"/>
        <w:rPr>
          <w:rFonts w:ascii="Times New Roman" w:hAnsi="Times New Roman"/>
          <w:noProof/>
        </w:rPr>
      </w:pPr>
      <w:r w:rsidRPr="001223A3">
        <w:rPr>
          <w:rFonts w:ascii="Times New Roman" w:hAnsi="Times New Roman"/>
          <w:noProof/>
        </w:rPr>
        <w:t xml:space="preserve">Ha, D. T., &amp; Nuntaboot, K. (2020). New competencies required for nurses as compared to the national nursing competency standards in Vietnam. </w:t>
      </w:r>
      <w:r w:rsidRPr="001223A3">
        <w:rPr>
          <w:rFonts w:ascii="Times New Roman" w:hAnsi="Times New Roman"/>
          <w:i/>
          <w:iCs/>
          <w:noProof/>
        </w:rPr>
        <w:t>Kontakt</w:t>
      </w:r>
      <w:r w:rsidRPr="001223A3">
        <w:rPr>
          <w:rFonts w:ascii="Times New Roman" w:hAnsi="Times New Roman"/>
          <w:noProof/>
        </w:rPr>
        <w:t xml:space="preserve">, </w:t>
      </w:r>
      <w:r w:rsidRPr="001223A3">
        <w:rPr>
          <w:rFonts w:ascii="Times New Roman" w:hAnsi="Times New Roman"/>
          <w:i/>
          <w:iCs/>
          <w:noProof/>
        </w:rPr>
        <w:t>22</w:t>
      </w:r>
      <w:r w:rsidRPr="001223A3">
        <w:rPr>
          <w:rFonts w:ascii="Times New Roman" w:hAnsi="Times New Roman"/>
          <w:noProof/>
        </w:rPr>
        <w:t>(2), 92–95. https://doi.org/10.32725/kont.2020.016</w:t>
      </w:r>
    </w:p>
    <w:p w14:paraId="2DC9500A" w14:textId="77777777" w:rsidR="00CC5E7B" w:rsidRPr="001223A3" w:rsidRDefault="00CC5E7B" w:rsidP="00CC5E7B">
      <w:pPr>
        <w:widowControl w:val="0"/>
        <w:autoSpaceDE w:val="0"/>
        <w:autoSpaceDN w:val="0"/>
        <w:adjustRightInd w:val="0"/>
        <w:spacing w:before="100" w:after="100" w:line="276" w:lineRule="auto"/>
        <w:ind w:left="480" w:hanging="480"/>
        <w:jc w:val="both"/>
        <w:rPr>
          <w:rFonts w:ascii="Times New Roman" w:hAnsi="Times New Roman"/>
          <w:noProof/>
        </w:rPr>
      </w:pPr>
      <w:r w:rsidRPr="001223A3">
        <w:rPr>
          <w:rFonts w:ascii="Times New Roman" w:hAnsi="Times New Roman"/>
          <w:noProof/>
        </w:rPr>
        <w:lastRenderedPageBreak/>
        <w:t xml:space="preserve">Heitzmann, N. et al. (2019). Facilitating diagnostic competences in simulations: A conceptual framework and a research agenda for medical and teacher education. </w:t>
      </w:r>
      <w:r w:rsidRPr="001223A3">
        <w:rPr>
          <w:rFonts w:ascii="Times New Roman" w:hAnsi="Times New Roman"/>
          <w:i/>
          <w:iCs/>
          <w:noProof/>
        </w:rPr>
        <w:t>Frontline Learning Research</w:t>
      </w:r>
      <w:r w:rsidRPr="001223A3">
        <w:rPr>
          <w:rFonts w:ascii="Times New Roman" w:hAnsi="Times New Roman"/>
          <w:noProof/>
        </w:rPr>
        <w:t xml:space="preserve">, </w:t>
      </w:r>
      <w:r w:rsidRPr="001223A3">
        <w:rPr>
          <w:rFonts w:ascii="Times New Roman" w:hAnsi="Times New Roman"/>
          <w:i/>
          <w:iCs/>
          <w:noProof/>
        </w:rPr>
        <w:t>7</w:t>
      </w:r>
      <w:r w:rsidRPr="001223A3">
        <w:rPr>
          <w:rFonts w:ascii="Times New Roman" w:hAnsi="Times New Roman"/>
          <w:noProof/>
        </w:rPr>
        <w:t>(4), 1–24. https://doi.org/10.14786/flr.v7i4.384</w:t>
      </w:r>
    </w:p>
    <w:p w14:paraId="1F10547F" w14:textId="77777777" w:rsidR="00CC5E7B" w:rsidRPr="001223A3" w:rsidRDefault="00CC5E7B" w:rsidP="00CC5E7B">
      <w:pPr>
        <w:widowControl w:val="0"/>
        <w:autoSpaceDE w:val="0"/>
        <w:autoSpaceDN w:val="0"/>
        <w:adjustRightInd w:val="0"/>
        <w:spacing w:before="100" w:after="100" w:line="276" w:lineRule="auto"/>
        <w:ind w:left="480" w:hanging="480"/>
        <w:jc w:val="both"/>
        <w:rPr>
          <w:rFonts w:ascii="Times New Roman" w:hAnsi="Times New Roman"/>
          <w:noProof/>
        </w:rPr>
      </w:pPr>
      <w:r w:rsidRPr="001223A3">
        <w:rPr>
          <w:rFonts w:ascii="Times New Roman" w:hAnsi="Times New Roman"/>
          <w:noProof/>
        </w:rPr>
        <w:t xml:space="preserve">Iñiguez-Berrozpe, T., &amp; Boeren, E. (2020). Twenty-First Century Skills for All: Adults and Problem Solving in Technology Rich Environments. </w:t>
      </w:r>
      <w:r w:rsidRPr="001223A3">
        <w:rPr>
          <w:rFonts w:ascii="Times New Roman" w:hAnsi="Times New Roman"/>
          <w:i/>
          <w:iCs/>
          <w:noProof/>
        </w:rPr>
        <w:t>Technology, Knowledge and Learning</w:t>
      </w:r>
      <w:r w:rsidRPr="001223A3">
        <w:rPr>
          <w:rFonts w:ascii="Times New Roman" w:hAnsi="Times New Roman"/>
          <w:noProof/>
        </w:rPr>
        <w:t xml:space="preserve">, </w:t>
      </w:r>
      <w:r w:rsidRPr="001223A3">
        <w:rPr>
          <w:rFonts w:ascii="Times New Roman" w:hAnsi="Times New Roman"/>
          <w:i/>
          <w:iCs/>
          <w:noProof/>
        </w:rPr>
        <w:t>25</w:t>
      </w:r>
      <w:r w:rsidRPr="001223A3">
        <w:rPr>
          <w:rFonts w:ascii="Times New Roman" w:hAnsi="Times New Roman"/>
          <w:noProof/>
        </w:rPr>
        <w:t>(4), 929–951. https://doi.org/10.1007/s10758-019-09403-y</w:t>
      </w:r>
    </w:p>
    <w:p w14:paraId="50863CD7" w14:textId="77777777" w:rsidR="00CC5E7B" w:rsidRPr="001223A3" w:rsidRDefault="00CC5E7B" w:rsidP="00CC5E7B">
      <w:pPr>
        <w:widowControl w:val="0"/>
        <w:autoSpaceDE w:val="0"/>
        <w:autoSpaceDN w:val="0"/>
        <w:adjustRightInd w:val="0"/>
        <w:spacing w:before="100" w:after="100" w:line="276" w:lineRule="auto"/>
        <w:ind w:left="480" w:hanging="480"/>
        <w:jc w:val="both"/>
        <w:rPr>
          <w:rFonts w:ascii="Times New Roman" w:hAnsi="Times New Roman"/>
          <w:noProof/>
        </w:rPr>
      </w:pPr>
      <w:r w:rsidRPr="001223A3">
        <w:rPr>
          <w:rFonts w:ascii="Times New Roman" w:hAnsi="Times New Roman"/>
          <w:noProof/>
        </w:rPr>
        <w:t xml:space="preserve">Itohan Oviawe, J. (2017). Bridging Skill Gap to Meet Technical, Vocational Education and Training School-Workplace Collaboration in the 21st Century. </w:t>
      </w:r>
      <w:r w:rsidRPr="001223A3">
        <w:rPr>
          <w:rFonts w:ascii="Times New Roman" w:hAnsi="Times New Roman"/>
          <w:i/>
          <w:iCs/>
          <w:noProof/>
        </w:rPr>
        <w:t>International Journal of Vocational Education and Training Research</w:t>
      </w:r>
      <w:r w:rsidRPr="001223A3">
        <w:rPr>
          <w:rFonts w:ascii="Times New Roman" w:hAnsi="Times New Roman"/>
          <w:noProof/>
        </w:rPr>
        <w:t xml:space="preserve">, </w:t>
      </w:r>
      <w:r w:rsidRPr="001223A3">
        <w:rPr>
          <w:rFonts w:ascii="Times New Roman" w:hAnsi="Times New Roman"/>
          <w:i/>
          <w:iCs/>
          <w:noProof/>
        </w:rPr>
        <w:t>3</w:t>
      </w:r>
      <w:r w:rsidRPr="001223A3">
        <w:rPr>
          <w:rFonts w:ascii="Times New Roman" w:hAnsi="Times New Roman"/>
          <w:noProof/>
        </w:rPr>
        <w:t>(1), 7. https://doi.org/10.11648/j.ijvetr.20170301.12</w:t>
      </w:r>
    </w:p>
    <w:p w14:paraId="48D8E07E" w14:textId="77777777" w:rsidR="00CC5E7B" w:rsidRPr="001223A3" w:rsidRDefault="00CC5E7B" w:rsidP="00CC5E7B">
      <w:pPr>
        <w:widowControl w:val="0"/>
        <w:autoSpaceDE w:val="0"/>
        <w:autoSpaceDN w:val="0"/>
        <w:adjustRightInd w:val="0"/>
        <w:spacing w:before="100" w:after="100" w:line="276" w:lineRule="auto"/>
        <w:ind w:left="480" w:hanging="480"/>
        <w:jc w:val="both"/>
        <w:rPr>
          <w:rFonts w:ascii="Times New Roman" w:hAnsi="Times New Roman"/>
          <w:noProof/>
        </w:rPr>
      </w:pPr>
      <w:r w:rsidRPr="001223A3">
        <w:rPr>
          <w:rFonts w:ascii="Times New Roman" w:hAnsi="Times New Roman"/>
          <w:noProof/>
        </w:rPr>
        <w:t xml:space="preserve">Lee, M. F. et al. (2019). Exploring the mastery level of critical thinking and problem solving skill among the technical undergraduate. </w:t>
      </w:r>
      <w:r w:rsidRPr="001223A3">
        <w:rPr>
          <w:rFonts w:ascii="Times New Roman" w:hAnsi="Times New Roman"/>
          <w:i/>
          <w:iCs/>
          <w:noProof/>
        </w:rPr>
        <w:t>Journal of Technical Education and Training</w:t>
      </w:r>
      <w:r w:rsidRPr="001223A3">
        <w:rPr>
          <w:rFonts w:ascii="Times New Roman" w:hAnsi="Times New Roman"/>
          <w:noProof/>
        </w:rPr>
        <w:t xml:space="preserve">, </w:t>
      </w:r>
      <w:r w:rsidRPr="001223A3">
        <w:rPr>
          <w:rFonts w:ascii="Times New Roman" w:hAnsi="Times New Roman"/>
          <w:i/>
          <w:iCs/>
          <w:noProof/>
        </w:rPr>
        <w:t>11</w:t>
      </w:r>
      <w:r w:rsidRPr="001223A3">
        <w:rPr>
          <w:rFonts w:ascii="Times New Roman" w:hAnsi="Times New Roman"/>
          <w:noProof/>
        </w:rPr>
        <w:t>(3), 9–14. https://doi.org/10.30880/jtet.2019.11.03.002</w:t>
      </w:r>
    </w:p>
    <w:p w14:paraId="43291A30" w14:textId="77777777" w:rsidR="00CC5E7B" w:rsidRPr="001223A3" w:rsidRDefault="00CC5E7B" w:rsidP="00CC5E7B">
      <w:pPr>
        <w:widowControl w:val="0"/>
        <w:autoSpaceDE w:val="0"/>
        <w:autoSpaceDN w:val="0"/>
        <w:adjustRightInd w:val="0"/>
        <w:spacing w:before="100" w:after="100" w:line="276" w:lineRule="auto"/>
        <w:ind w:left="480" w:hanging="480"/>
        <w:jc w:val="both"/>
        <w:rPr>
          <w:rFonts w:ascii="Times New Roman" w:hAnsi="Times New Roman"/>
          <w:noProof/>
        </w:rPr>
      </w:pPr>
      <w:r w:rsidRPr="001223A3">
        <w:rPr>
          <w:rFonts w:ascii="Times New Roman" w:hAnsi="Times New Roman"/>
          <w:noProof/>
        </w:rPr>
        <w:t xml:space="preserve">Lund, B. (2021). The fourth industrial revolution. </w:t>
      </w:r>
      <w:r w:rsidRPr="001223A3">
        <w:rPr>
          <w:rFonts w:ascii="Times New Roman" w:hAnsi="Times New Roman"/>
          <w:i/>
          <w:iCs/>
          <w:noProof/>
        </w:rPr>
        <w:t>Information Technology and Libraries</w:t>
      </w:r>
      <w:r w:rsidRPr="001223A3">
        <w:rPr>
          <w:rFonts w:ascii="Times New Roman" w:hAnsi="Times New Roman"/>
          <w:noProof/>
        </w:rPr>
        <w:t xml:space="preserve">, </w:t>
      </w:r>
      <w:r w:rsidRPr="001223A3">
        <w:rPr>
          <w:rFonts w:ascii="Times New Roman" w:hAnsi="Times New Roman"/>
          <w:i/>
          <w:iCs/>
          <w:noProof/>
        </w:rPr>
        <w:t>40</w:t>
      </w:r>
      <w:r w:rsidRPr="001223A3">
        <w:rPr>
          <w:rFonts w:ascii="Times New Roman" w:hAnsi="Times New Roman"/>
          <w:noProof/>
        </w:rPr>
        <w:t>(1), 19–24. https://doi.org/10.6017/ITAL.V40I1.13193</w:t>
      </w:r>
    </w:p>
    <w:p w14:paraId="1ADE8A2B" w14:textId="77777777" w:rsidR="00CC5E7B" w:rsidRPr="004A1393" w:rsidRDefault="00CC5E7B" w:rsidP="00CC5E7B">
      <w:pPr>
        <w:widowControl w:val="0"/>
        <w:autoSpaceDE w:val="0"/>
        <w:autoSpaceDN w:val="0"/>
        <w:adjustRightInd w:val="0"/>
        <w:spacing w:before="100" w:after="100" w:line="276" w:lineRule="auto"/>
        <w:ind w:left="480" w:hanging="480"/>
        <w:jc w:val="both"/>
        <w:rPr>
          <w:rFonts w:ascii="Times New Roman" w:hAnsi="Times New Roman"/>
          <w:noProof/>
          <w:lang w:val="fi-FI"/>
        </w:rPr>
      </w:pPr>
      <w:r w:rsidRPr="004A1393">
        <w:rPr>
          <w:rFonts w:ascii="Times New Roman" w:hAnsi="Times New Roman"/>
          <w:noProof/>
          <w:lang w:val="fi-FI"/>
        </w:rPr>
        <w:t xml:space="preserve">Pahlevianur, R. (2022). Metodologi Penelitian Kualitatif. In </w:t>
      </w:r>
      <w:r w:rsidRPr="004A1393">
        <w:rPr>
          <w:rFonts w:ascii="Times New Roman" w:hAnsi="Times New Roman"/>
          <w:i/>
          <w:iCs/>
          <w:noProof/>
          <w:lang w:val="fi-FI"/>
        </w:rPr>
        <w:t>Metodologi Peneltian Kualitatif</w:t>
      </w:r>
      <w:r w:rsidRPr="004A1393">
        <w:rPr>
          <w:rFonts w:ascii="Times New Roman" w:hAnsi="Times New Roman"/>
          <w:noProof/>
          <w:lang w:val="fi-FI"/>
        </w:rPr>
        <w:t xml:space="preserve"> (p. 123). Pradina Pustaka.</w:t>
      </w:r>
    </w:p>
    <w:p w14:paraId="66674838" w14:textId="77777777" w:rsidR="00CC5E7B" w:rsidRPr="001223A3" w:rsidRDefault="00CC5E7B" w:rsidP="00CC5E7B">
      <w:pPr>
        <w:widowControl w:val="0"/>
        <w:autoSpaceDE w:val="0"/>
        <w:autoSpaceDN w:val="0"/>
        <w:adjustRightInd w:val="0"/>
        <w:spacing w:before="100" w:after="100" w:line="276" w:lineRule="auto"/>
        <w:ind w:left="480" w:hanging="480"/>
        <w:jc w:val="both"/>
        <w:rPr>
          <w:rFonts w:ascii="Times New Roman" w:hAnsi="Times New Roman"/>
          <w:noProof/>
        </w:rPr>
      </w:pPr>
      <w:r w:rsidRPr="001223A3">
        <w:rPr>
          <w:rFonts w:ascii="Times New Roman" w:hAnsi="Times New Roman"/>
          <w:noProof/>
        </w:rPr>
        <w:t xml:space="preserve">Rotatori, D. et al. (2021). The evolution of the workforce during the fourth industrial revolution. </w:t>
      </w:r>
      <w:r w:rsidRPr="001223A3">
        <w:rPr>
          <w:rFonts w:ascii="Times New Roman" w:hAnsi="Times New Roman"/>
          <w:i/>
          <w:iCs/>
          <w:noProof/>
        </w:rPr>
        <w:t>Human Resource Development International</w:t>
      </w:r>
      <w:r w:rsidRPr="001223A3">
        <w:rPr>
          <w:rFonts w:ascii="Times New Roman" w:hAnsi="Times New Roman"/>
          <w:noProof/>
        </w:rPr>
        <w:t xml:space="preserve">, </w:t>
      </w:r>
      <w:r w:rsidRPr="001223A3">
        <w:rPr>
          <w:rFonts w:ascii="Times New Roman" w:hAnsi="Times New Roman"/>
          <w:i/>
          <w:iCs/>
          <w:noProof/>
        </w:rPr>
        <w:t>24</w:t>
      </w:r>
      <w:r w:rsidRPr="001223A3">
        <w:rPr>
          <w:rFonts w:ascii="Times New Roman" w:hAnsi="Times New Roman"/>
          <w:noProof/>
        </w:rPr>
        <w:t>(1), 92–103. https://doi.org/10.1080/13678868.2020.1767453</w:t>
      </w:r>
    </w:p>
    <w:p w14:paraId="234A79D1" w14:textId="77777777" w:rsidR="00CC5E7B" w:rsidRPr="001223A3" w:rsidRDefault="00CC5E7B" w:rsidP="00CC5E7B">
      <w:pPr>
        <w:widowControl w:val="0"/>
        <w:autoSpaceDE w:val="0"/>
        <w:autoSpaceDN w:val="0"/>
        <w:adjustRightInd w:val="0"/>
        <w:spacing w:before="100" w:after="100" w:line="276" w:lineRule="auto"/>
        <w:ind w:left="480" w:hanging="480"/>
        <w:jc w:val="both"/>
        <w:rPr>
          <w:rFonts w:ascii="Times New Roman" w:hAnsi="Times New Roman"/>
          <w:noProof/>
        </w:rPr>
      </w:pPr>
      <w:r w:rsidRPr="001223A3">
        <w:rPr>
          <w:rFonts w:ascii="Times New Roman" w:hAnsi="Times New Roman"/>
          <w:noProof/>
        </w:rPr>
        <w:t xml:space="preserve">Suparyati, A., &amp; Habsya, C. (2024). Kompetensi Lulusan Pendidikan Vokasi untuk Bersaing di Pasar Global. </w:t>
      </w:r>
      <w:r w:rsidRPr="001223A3">
        <w:rPr>
          <w:rFonts w:ascii="Times New Roman" w:hAnsi="Times New Roman"/>
          <w:i/>
          <w:iCs/>
          <w:noProof/>
        </w:rPr>
        <w:t>JIIP - Jurnal Ilmiah Ilmu Pendidikan</w:t>
      </w:r>
      <w:r w:rsidRPr="001223A3">
        <w:rPr>
          <w:rFonts w:ascii="Times New Roman" w:hAnsi="Times New Roman"/>
          <w:noProof/>
        </w:rPr>
        <w:t xml:space="preserve">, </w:t>
      </w:r>
      <w:r w:rsidRPr="001223A3">
        <w:rPr>
          <w:rFonts w:ascii="Times New Roman" w:hAnsi="Times New Roman"/>
          <w:i/>
          <w:iCs/>
          <w:noProof/>
        </w:rPr>
        <w:t>7</w:t>
      </w:r>
      <w:r w:rsidRPr="001223A3">
        <w:rPr>
          <w:rFonts w:ascii="Times New Roman" w:hAnsi="Times New Roman"/>
          <w:noProof/>
        </w:rPr>
        <w:t>(2), 1921–1927. https://doi.org/10.54371/jiip.v7i2.3288</w:t>
      </w:r>
    </w:p>
    <w:p w14:paraId="7B3008DC" w14:textId="77777777" w:rsidR="00CC5E7B" w:rsidRPr="001223A3" w:rsidRDefault="00CC5E7B" w:rsidP="00CC5E7B">
      <w:pPr>
        <w:widowControl w:val="0"/>
        <w:autoSpaceDE w:val="0"/>
        <w:autoSpaceDN w:val="0"/>
        <w:adjustRightInd w:val="0"/>
        <w:spacing w:before="100" w:after="100" w:line="276" w:lineRule="auto"/>
        <w:ind w:left="480" w:hanging="480"/>
        <w:jc w:val="both"/>
        <w:rPr>
          <w:rFonts w:ascii="Times New Roman" w:hAnsi="Times New Roman"/>
          <w:noProof/>
        </w:rPr>
      </w:pPr>
      <w:r w:rsidRPr="001223A3">
        <w:rPr>
          <w:rFonts w:ascii="Times New Roman" w:hAnsi="Times New Roman"/>
          <w:noProof/>
        </w:rPr>
        <w:t xml:space="preserve">Yahya, M. et al. (2023). Prosiding Seminar Nasional Implementasi Artificial Intelligence (AI) di Bidang Pendidikan Kejuruan Pada Era Revolusi Industri 4.0. </w:t>
      </w:r>
      <w:r w:rsidRPr="001223A3">
        <w:rPr>
          <w:rFonts w:ascii="Times New Roman" w:hAnsi="Times New Roman"/>
          <w:i/>
          <w:iCs/>
          <w:noProof/>
        </w:rPr>
        <w:t>Prosiding Seminar Nasional</w:t>
      </w:r>
      <w:r w:rsidRPr="001223A3">
        <w:rPr>
          <w:rFonts w:ascii="Times New Roman" w:hAnsi="Times New Roman"/>
          <w:noProof/>
        </w:rPr>
        <w:t>, 190–199. https://journal.unm.ac.id/index.php/Semnasdies62/index</w:t>
      </w:r>
    </w:p>
    <w:p w14:paraId="3A12719E" w14:textId="77777777" w:rsidR="00F37CD0" w:rsidRPr="003E7FB2" w:rsidRDefault="00F37CD0">
      <w:pPr>
        <w:ind w:left="426" w:hanging="426"/>
        <w:jc w:val="both"/>
        <w:rPr>
          <w:rFonts w:ascii="Times New Roman" w:hAnsi="Times New Roman"/>
          <w:color w:val="000000"/>
        </w:rPr>
      </w:pPr>
    </w:p>
    <w:sectPr w:rsidR="00F37CD0" w:rsidRPr="003E7FB2">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701" w:header="851" w:footer="6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35B27" w14:textId="77777777" w:rsidR="001A27BB" w:rsidRDefault="001A27BB">
      <w:r>
        <w:separator/>
      </w:r>
    </w:p>
  </w:endnote>
  <w:endnote w:type="continuationSeparator" w:id="0">
    <w:p w14:paraId="418CECA8" w14:textId="77777777" w:rsidR="001A27BB" w:rsidRDefault="001A2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Che">
    <w:charset w:val="81"/>
    <w:family w:val="modern"/>
    <w:pitch w:val="fixed"/>
    <w:sig w:usb0="B00002AF" w:usb1="69D77CFB" w:usb2="00000030" w:usb3="00000000" w:csb0="0008009F" w:csb1="00000000"/>
  </w:font>
  <w:font w:name="Palatino">
    <w:altName w:val="Segoe UI Historic"/>
    <w:charset w:val="4D"/>
    <w:family w:val="auto"/>
    <w:pitch w:val="variable"/>
    <w:sig w:usb0="A00002FF" w:usb1="7800205A" w:usb2="14600000" w:usb3="00000000" w:csb0="00000193" w:csb1="00000000"/>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libri"/>
    <w:charset w:val="00"/>
    <w:family w:val="auto"/>
    <w:pitch w:val="default"/>
  </w:font>
  <w:font w:name="NimbusRomNo9L-Regu">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1F10A" w14:textId="77777777" w:rsidR="00F37CD0" w:rsidRDefault="00F37CD0">
    <w:pPr>
      <w:tabs>
        <w:tab w:val="center" w:pos="4513"/>
        <w:tab w:val="right" w:pos="9026"/>
      </w:tabs>
      <w:rPr>
        <w:color w:val="000000"/>
      </w:rPr>
    </w:pPr>
  </w:p>
  <w:p w14:paraId="2EBF7BA5" w14:textId="77777777" w:rsidR="00683065" w:rsidRPr="00683065" w:rsidRDefault="00683065" w:rsidP="00683065">
    <w:pPr>
      <w:tabs>
        <w:tab w:val="left" w:pos="3675"/>
        <w:tab w:val="center" w:pos="4513"/>
        <w:tab w:val="right" w:pos="9026"/>
      </w:tabs>
      <w:ind w:right="45"/>
      <w:rPr>
        <w:rFonts w:ascii="Cambria" w:eastAsia="Cambria" w:hAnsi="Cambria" w:cs="Cambria"/>
        <w:b/>
        <w:color w:val="000000"/>
        <w:highlight w:val="white"/>
      </w:rPr>
    </w:pPr>
    <w:r w:rsidRPr="00683065">
      <w:rPr>
        <w:rFonts w:ascii="Cambria" w:eastAsia="Cambria" w:hAnsi="Cambria" w:cs="Cambria"/>
        <w:b/>
        <w:color w:val="000000"/>
        <w:highlight w:val="white"/>
      </w:rPr>
      <w:t xml:space="preserve">EL (Edu </w:t>
    </w:r>
    <w:proofErr w:type="gramStart"/>
    <w:r w:rsidRPr="00683065">
      <w:rPr>
        <w:rFonts w:ascii="Cambria" w:eastAsia="Cambria" w:hAnsi="Cambria" w:cs="Cambria"/>
        <w:b/>
        <w:color w:val="000000"/>
        <w:highlight w:val="white"/>
      </w:rPr>
      <w:t>Learning )</w:t>
    </w:r>
    <w:proofErr w:type="gramEnd"/>
    <w:r w:rsidRPr="00683065">
      <w:rPr>
        <w:rFonts w:ascii="Cambria" w:eastAsia="Cambria" w:hAnsi="Cambria" w:cs="Cambria"/>
        <w:b/>
        <w:color w:val="000000"/>
        <w:highlight w:val="white"/>
      </w:rPr>
      <w:t xml:space="preserve"> : Journal E</w:t>
    </w:r>
    <w:r>
      <w:rPr>
        <w:rFonts w:ascii="Cambria" w:eastAsia="Cambria" w:hAnsi="Cambria" w:cs="Cambria"/>
        <w:b/>
        <w:color w:val="000000"/>
        <w:highlight w:val="white"/>
      </w:rPr>
      <w:t>ducation and Learning</w:t>
    </w:r>
  </w:p>
  <w:p w14:paraId="3EA4266A" w14:textId="237F8374" w:rsidR="00F37CD0" w:rsidRDefault="00000000">
    <w:pPr>
      <w:tabs>
        <w:tab w:val="left" w:pos="3675"/>
        <w:tab w:val="center" w:pos="4513"/>
        <w:tab w:val="right" w:pos="9026"/>
      </w:tabs>
      <w:ind w:right="45"/>
      <w:rPr>
        <w:rFonts w:ascii="Cambria" w:eastAsia="Cambria" w:hAnsi="Cambria" w:cs="Cambria"/>
        <w:color w:val="000000"/>
      </w:rPr>
    </w:pPr>
    <w:r>
      <w:rPr>
        <w:rFonts w:ascii="Cambria" w:eastAsia="Cambria" w:hAnsi="Cambria" w:cs="Cambria"/>
        <w:color w:val="000000"/>
      </w:rPr>
      <w:t xml:space="preserve">Vol. </w:t>
    </w:r>
    <w:r w:rsidR="00683065">
      <w:rPr>
        <w:rFonts w:ascii="Cambria" w:eastAsia="Cambria" w:hAnsi="Cambria" w:cs="Cambria"/>
        <w:color w:val="000000"/>
      </w:rPr>
      <w:t>1</w:t>
    </w:r>
    <w:r>
      <w:rPr>
        <w:rFonts w:ascii="Cambria" w:eastAsia="Cambria" w:hAnsi="Cambria" w:cs="Cambria"/>
        <w:color w:val="000000"/>
      </w:rPr>
      <w:t xml:space="preserve">, No. 1, </w:t>
    </w:r>
    <w:r w:rsidR="00683065">
      <w:rPr>
        <w:rFonts w:ascii="Cambria" w:eastAsia="Cambria" w:hAnsi="Cambria" w:cs="Cambria"/>
        <w:color w:val="000000"/>
      </w:rPr>
      <w:t>Juni 2026</w:t>
    </w:r>
    <w:r>
      <w:rPr>
        <w:rFonts w:ascii="Cambria" w:eastAsia="Cambria" w:hAnsi="Cambria" w:cs="Cambria"/>
        <w:color w:val="000000"/>
      </w:rPr>
      <w:t>, pp. 1-</w:t>
    </w:r>
    <w:r>
      <w:rPr>
        <w:rFonts w:ascii="Cambria" w:eastAsia="Cambria" w:hAnsi="Cambria" w:cs="Cambria"/>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E8C54" w14:textId="77777777" w:rsidR="00F37CD0" w:rsidRDefault="00000000">
    <w:pPr>
      <w:tabs>
        <w:tab w:val="center" w:pos="4320"/>
        <w:tab w:val="right" w:pos="8640"/>
      </w:tabs>
      <w:rPr>
        <w:rFonts w:ascii="Times New Roman" w:eastAsia="Times New Roman" w:hAnsi="Times New Roman"/>
        <w:color w:val="000000"/>
      </w:rPr>
    </w:pPr>
    <w:proofErr w:type="gramStart"/>
    <w:r>
      <w:rPr>
        <w:rFonts w:ascii="Times New Roman" w:eastAsia="Times New Roman" w:hAnsi="Times New Roman"/>
        <w:i/>
        <w:color w:val="000000"/>
      </w:rPr>
      <w:t>Paper’s</w:t>
    </w:r>
    <w:proofErr w:type="gramEnd"/>
    <w:r>
      <w:rPr>
        <w:rFonts w:ascii="Times New Roman" w:eastAsia="Times New Roman" w:hAnsi="Times New Roman"/>
        <w:i/>
        <w:color w:val="000000"/>
      </w:rPr>
      <w:t xml:space="preserve"> should be the fewest possible that accurately describe …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9959" w14:textId="77777777" w:rsidR="00F37CD0" w:rsidRDefault="00000000">
    <w:pPr>
      <w:tabs>
        <w:tab w:val="center" w:pos="4320"/>
        <w:tab w:val="right" w:pos="8640"/>
      </w:tabs>
      <w:rPr>
        <w:rFonts w:ascii="Times New Roman" w:eastAsia="Times New Roman" w:hAnsi="Times New Roman"/>
        <w:color w:val="000000"/>
      </w:rPr>
    </w:pPr>
    <w:proofErr w:type="gramStart"/>
    <w:r>
      <w:rPr>
        <w:rFonts w:ascii="Times New Roman" w:eastAsia="Times New Roman" w:hAnsi="Times New Roman"/>
        <w:i/>
        <w:color w:val="000000"/>
      </w:rPr>
      <w:t>Paper’s</w:t>
    </w:r>
    <w:proofErr w:type="gramEnd"/>
    <w:r>
      <w:rPr>
        <w:rFonts w:ascii="Times New Roman" w:eastAsia="Times New Roman" w:hAnsi="Times New Roman"/>
        <w:i/>
        <w:color w:val="000000"/>
      </w:rPr>
      <w:t xml:space="preserve"> should be the fewest possible that accurately describe … (First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E6B31" w14:textId="77777777" w:rsidR="001A27BB" w:rsidRDefault="001A27BB">
      <w:r>
        <w:separator/>
      </w:r>
    </w:p>
  </w:footnote>
  <w:footnote w:type="continuationSeparator" w:id="0">
    <w:p w14:paraId="0B4A98CD" w14:textId="77777777" w:rsidR="001A27BB" w:rsidRDefault="001A2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57B4" w14:textId="21E46075" w:rsidR="00F37CD0" w:rsidRDefault="00000000">
    <w:pPr>
      <w:tabs>
        <w:tab w:val="right" w:pos="851"/>
        <w:tab w:val="left" w:pos="3405"/>
        <w:tab w:val="center" w:pos="4320"/>
        <w:tab w:val="left" w:pos="5025"/>
        <w:tab w:val="right" w:pos="8640"/>
      </w:tabs>
    </w:pPr>
    <w:r>
      <w:rPr>
        <w:rFonts w:ascii="Cambria" w:eastAsia="Cambria" w:hAnsi="Cambria" w:cs="Cambria"/>
      </w:rPr>
      <w:t>E-</w:t>
    </w:r>
    <w:proofErr w:type="gramStart"/>
    <w:r>
      <w:rPr>
        <w:rFonts w:ascii="Cambria" w:eastAsia="Cambria" w:hAnsi="Cambria" w:cs="Cambria"/>
      </w:rPr>
      <w:t xml:space="preserve">ISSN  </w:t>
    </w:r>
    <w:proofErr w:type="spellStart"/>
    <w:r w:rsidR="00683065">
      <w:rPr>
        <w:rFonts w:ascii="Cambria" w:eastAsia="Cambria" w:hAnsi="Cambria" w:cs="Cambria"/>
      </w:rPr>
      <w:t>xxxx</w:t>
    </w:r>
    <w:proofErr w:type="gramEnd"/>
    <w:r>
      <w:rPr>
        <w:rFonts w:ascii="Cambria" w:eastAsia="Cambria" w:hAnsi="Cambria" w:cs="Cambria"/>
      </w:rPr>
      <w:t>-</w:t>
    </w:r>
    <w:r w:rsidR="00683065">
      <w:rPr>
        <w:rFonts w:ascii="Cambria" w:eastAsia="Cambria" w:hAnsi="Cambria" w:cs="Cambria"/>
      </w:rPr>
      <w:t>xxxx</w:t>
    </w:r>
    <w:proofErr w:type="spellEnd"/>
    <w:r>
      <w:rPr>
        <w:rFonts w:ascii="Cambria" w:eastAsia="Cambria" w:hAnsi="Cambria" w:cs="Cambria"/>
      </w:rPr>
      <w:t xml:space="preserve"> </w:t>
    </w:r>
    <w:r>
      <w:rPr>
        <w:rFonts w:ascii="Cambria" w:eastAsia="Cambria" w:hAnsi="Cambria" w:cs="Cambria"/>
      </w:rPr>
      <w:tab/>
    </w:r>
    <w:r>
      <w:rPr>
        <w:rFonts w:ascii="Cambria" w:eastAsia="Cambria" w:hAnsi="Cambria" w:cs="Cambria"/>
      </w:rPr>
      <w:tab/>
    </w:r>
    <w:r>
      <w:rPr>
        <w:rFonts w:ascii="Cambria" w:eastAsia="Cambria" w:hAnsi="Cambria" w:cs="Cambria"/>
      </w:rPr>
      <w:tab/>
    </w:r>
    <w:r>
      <w:fldChar w:fldCharType="begin"/>
    </w:r>
    <w:r>
      <w:instrText>PAGE</w:instrText>
    </w:r>
    <w:r>
      <w:fldChar w:fldCharType="separate"/>
    </w:r>
    <w:r w:rsidR="00FE5D7F">
      <w:rPr>
        <w:noProof/>
      </w:rPr>
      <w:t>2</w:t>
    </w:r>
    <w:r>
      <w:fldChar w:fldCharType="end"/>
    </w:r>
  </w:p>
  <w:p w14:paraId="21634E3D" w14:textId="77777777" w:rsidR="00F37CD0" w:rsidRDefault="00000000">
    <w:pPr>
      <w:tabs>
        <w:tab w:val="right" w:pos="851"/>
        <w:tab w:val="left" w:pos="3405"/>
        <w:tab w:val="center" w:pos="4320"/>
        <w:tab w:val="left" w:pos="5025"/>
        <w:tab w:val="right" w:pos="8640"/>
      </w:tabs>
    </w:pPr>
    <w:r>
      <w:rPr>
        <w:noProof/>
      </w:rPr>
      <mc:AlternateContent>
        <mc:Choice Requires="wps">
          <w:drawing>
            <wp:anchor distT="0" distB="0" distL="114300" distR="114300" simplePos="0" relativeHeight="251656704" behindDoc="0" locked="0" layoutInCell="1" allowOverlap="1" wp14:anchorId="462C0B9C" wp14:editId="22C63E62">
              <wp:simplePos x="0" y="0"/>
              <wp:positionH relativeFrom="column">
                <wp:posOffset>-62865</wp:posOffset>
              </wp:positionH>
              <wp:positionV relativeFrom="paragraph">
                <wp:posOffset>50800</wp:posOffset>
              </wp:positionV>
              <wp:extent cx="5634990" cy="31750"/>
              <wp:effectExtent l="0" t="0" r="0" b="0"/>
              <wp:wrapNone/>
              <wp:docPr id="1847200833" name="Straight Arrow Connector 1847200833"/>
              <wp:cNvGraphicFramePr/>
              <a:graphic xmlns:a="http://schemas.openxmlformats.org/drawingml/2006/main">
                <a:graphicData uri="http://schemas.microsoft.com/office/word/2010/wordprocessingShape">
                  <wps:wsp>
                    <wps:cNvCnPr/>
                    <wps:spPr>
                      <a:xfrm>
                        <a:off x="2533268" y="3768888"/>
                        <a:ext cx="5625465" cy="2222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4.95pt;margin-top:4pt;height:2.5pt;width:443.7pt;z-index:251659264;mso-width-relative:page;mso-height-relative:page;" filled="f" stroked="t" coordsize="21600,21600" o:gfxdata="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WAAAAZHJzL1BLAQIUABQAAAAIAIdO4kBXB1AJ&#10;1QAAAAcBAAAPAAAAAAAAAAEAIAAAADgAAABkcnMvZG93bnJldi54bWxQSwECFAAUAAAACACHTuJA&#10;UfNyMEcCAACuBAAADgAAAAAAAAABACAAAAA6AQAAZHJzL2Uyb0RvYy54bWxQSwUGAAAAAAYABgBZ&#10;AQAA8wUAAAAA&#10;">
              <v:fill on="f" focussize="0,0"/>
              <v:stroke color="#000000" joinstyle="round" startarrowwidth="narrow" startarrowlength="short" endarrowwidth="narrow" endarrowlength="short"/>
              <v:imagedata o:title=""/>
              <o:lock v:ext="edit" aspectratio="f"/>
            </v:shape>
          </w:pict>
        </mc:Fallback>
      </mc:AlternateContent>
    </w:r>
  </w:p>
  <w:p w14:paraId="79BD3653" w14:textId="77777777" w:rsidR="00F37CD0" w:rsidRDefault="00F37CD0">
    <w:pPr>
      <w:tabs>
        <w:tab w:val="right" w:pos="851"/>
        <w:tab w:val="left" w:pos="3405"/>
        <w:tab w:val="center" w:pos="4320"/>
        <w:tab w:val="left" w:pos="5025"/>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1F8F4" w14:textId="77777777" w:rsidR="00683065" w:rsidRPr="00683065" w:rsidRDefault="00683065" w:rsidP="00683065">
    <w:pPr>
      <w:tabs>
        <w:tab w:val="left" w:pos="3675"/>
        <w:tab w:val="center" w:pos="4513"/>
        <w:tab w:val="right" w:pos="9026"/>
      </w:tabs>
      <w:ind w:right="45"/>
      <w:rPr>
        <w:rFonts w:ascii="Cambria" w:eastAsia="Cambria" w:hAnsi="Cambria" w:cs="Cambria"/>
        <w:b/>
        <w:color w:val="000000"/>
        <w:highlight w:val="white"/>
      </w:rPr>
    </w:pPr>
    <w:r w:rsidRPr="00683065">
      <w:rPr>
        <w:rFonts w:ascii="Cambria" w:eastAsia="Cambria" w:hAnsi="Cambria" w:cs="Cambria"/>
        <w:b/>
        <w:color w:val="000000"/>
        <w:highlight w:val="white"/>
      </w:rPr>
      <w:t xml:space="preserve">EL (Edu </w:t>
    </w:r>
    <w:proofErr w:type="gramStart"/>
    <w:r w:rsidRPr="00683065">
      <w:rPr>
        <w:rFonts w:ascii="Cambria" w:eastAsia="Cambria" w:hAnsi="Cambria" w:cs="Cambria"/>
        <w:b/>
        <w:color w:val="000000"/>
        <w:highlight w:val="white"/>
      </w:rPr>
      <w:t>Learning )</w:t>
    </w:r>
    <w:proofErr w:type="gramEnd"/>
    <w:r w:rsidRPr="00683065">
      <w:rPr>
        <w:rFonts w:ascii="Cambria" w:eastAsia="Cambria" w:hAnsi="Cambria" w:cs="Cambria"/>
        <w:b/>
        <w:color w:val="000000"/>
        <w:highlight w:val="white"/>
      </w:rPr>
      <w:t xml:space="preserve"> : Journal E</w:t>
    </w:r>
    <w:r>
      <w:rPr>
        <w:rFonts w:ascii="Cambria" w:eastAsia="Cambria" w:hAnsi="Cambria" w:cs="Cambria"/>
        <w:b/>
        <w:color w:val="000000"/>
        <w:highlight w:val="white"/>
      </w:rPr>
      <w:t>ducation and Learning</w:t>
    </w:r>
  </w:p>
  <w:p w14:paraId="34885BE5" w14:textId="77777777" w:rsidR="00683065" w:rsidRDefault="00683065" w:rsidP="00683065">
    <w:pPr>
      <w:tabs>
        <w:tab w:val="left" w:pos="3675"/>
        <w:tab w:val="center" w:pos="4513"/>
        <w:tab w:val="right" w:pos="9026"/>
      </w:tabs>
      <w:ind w:right="45"/>
      <w:rPr>
        <w:rFonts w:ascii="Cambria" w:eastAsia="Cambria" w:hAnsi="Cambria" w:cs="Cambria"/>
        <w:color w:val="000000"/>
      </w:rPr>
    </w:pPr>
    <w:r>
      <w:rPr>
        <w:rFonts w:ascii="Cambria" w:eastAsia="Cambria" w:hAnsi="Cambria" w:cs="Cambria"/>
        <w:color w:val="000000"/>
      </w:rPr>
      <w:t>Vol. 1, No. 1, Juni 2026, pp. 1-</w:t>
    </w:r>
    <w:r>
      <w:rPr>
        <w:rFonts w:ascii="Cambria" w:eastAsia="Cambria" w:hAnsi="Cambria" w:cs="Cambria"/>
      </w:rPr>
      <w:t>8</w:t>
    </w:r>
  </w:p>
  <w:p w14:paraId="4C74703A" w14:textId="6E3A1CF5" w:rsidR="00F37CD0" w:rsidRDefault="00683065" w:rsidP="00683065">
    <w:pPr>
      <w:tabs>
        <w:tab w:val="left" w:pos="0"/>
        <w:tab w:val="center" w:pos="4301"/>
        <w:tab w:val="center" w:pos="4320"/>
        <w:tab w:val="left" w:pos="7938"/>
        <w:tab w:val="right" w:pos="8640"/>
        <w:tab w:val="right" w:pos="8789"/>
      </w:tabs>
      <w:rPr>
        <w:color w:val="000000"/>
      </w:rPr>
    </w:pPr>
    <w:r>
      <w:rPr>
        <w:rFonts w:ascii="Cambria" w:eastAsia="Cambria" w:hAnsi="Cambria" w:cs="Cambria"/>
        <w:color w:val="000000"/>
      </w:rPr>
      <w:t xml:space="preserve">E-ISSN: </w:t>
    </w:r>
    <w:proofErr w:type="spellStart"/>
    <w:r>
      <w:rPr>
        <w:rFonts w:ascii="Cambria" w:eastAsia="Cambria" w:hAnsi="Cambria" w:cs="Cambria"/>
        <w:color w:val="000000"/>
      </w:rPr>
      <w:t>xxxx-xxxx</w:t>
    </w:r>
    <w:proofErr w:type="spellEnd"/>
    <w:r>
      <w:rPr>
        <w:rFonts w:ascii="Cambria" w:eastAsia="Cambria" w:hAnsi="Cambria" w:cs="Cambria"/>
        <w:color w:val="000000"/>
      </w:rPr>
      <w:t>, DOI: https://doi.org/.......................</w:t>
    </w:r>
    <w:r>
      <w:rPr>
        <w:color w:val="000000"/>
      </w:rPr>
      <w:tab/>
    </w:r>
    <w:r>
      <w:rPr>
        <w:color w:val="000000"/>
      </w:rPr>
      <w:fldChar w:fldCharType="begin"/>
    </w:r>
    <w:r>
      <w:rPr>
        <w:color w:val="000000"/>
      </w:rPr>
      <w:instrText>PAGE</w:instrText>
    </w:r>
    <w:r>
      <w:rPr>
        <w:color w:val="000000"/>
      </w:rPr>
      <w:fldChar w:fldCharType="separate"/>
    </w:r>
    <w:r w:rsidR="00FE5D7F">
      <w:rPr>
        <w:noProof/>
        <w:color w:val="000000"/>
      </w:rPr>
      <w:t>3</w:t>
    </w:r>
    <w:r>
      <w:rPr>
        <w:color w:val="000000"/>
      </w:rPr>
      <w:fldChar w:fldCharType="end"/>
    </w:r>
    <w:r>
      <w:rPr>
        <w:color w:val="000000"/>
      </w:rPr>
      <w:tab/>
    </w:r>
  </w:p>
  <w:p w14:paraId="2A02445A" w14:textId="77777777" w:rsidR="00F37CD0" w:rsidRDefault="00000000">
    <w:pPr>
      <w:tabs>
        <w:tab w:val="left" w:pos="0"/>
        <w:tab w:val="center" w:pos="4301"/>
        <w:tab w:val="center" w:pos="4320"/>
        <w:tab w:val="left" w:pos="7938"/>
        <w:tab w:val="right" w:pos="8640"/>
        <w:tab w:val="right" w:pos="8789"/>
      </w:tabs>
      <w:rPr>
        <w:color w:val="000000"/>
      </w:rPr>
    </w:pPr>
    <w:r>
      <w:rPr>
        <w:noProof/>
      </w:rPr>
      <mc:AlternateContent>
        <mc:Choice Requires="wps">
          <w:drawing>
            <wp:anchor distT="0" distB="0" distL="114300" distR="114300" simplePos="0" relativeHeight="251657728" behindDoc="0" locked="0" layoutInCell="1" allowOverlap="1" wp14:anchorId="2A53FFDB" wp14:editId="738B4E9F">
              <wp:simplePos x="0" y="0"/>
              <wp:positionH relativeFrom="column">
                <wp:posOffset>-12065</wp:posOffset>
              </wp:positionH>
              <wp:positionV relativeFrom="paragraph">
                <wp:posOffset>165100</wp:posOffset>
              </wp:positionV>
              <wp:extent cx="0" cy="12700"/>
              <wp:effectExtent l="0" t="0" r="0" b="0"/>
              <wp:wrapNone/>
              <wp:docPr id="1847200832" name="Straight Arrow Connector 1847200832"/>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0.95pt;margin-top:13pt;height:1pt;width:0pt;z-index:251659264;mso-width-relative:page;mso-height-relative:page;" filled="f" stroked="t" coordsize="21600,21600" o:gfxdata="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A/J4XF0wAAAAcB&#10;AAAPAAAAAAAAAAEAIAAAADgAAABkcnMvZG93bnJldi54bWxQSwECFAAUAAAACACHTuJAn41A+kMC&#10;AACqBAAADgAAAAAAAAABACAAAAA4AQAAZHJzL2Uyb0RvYy54bWxQSwUGAAAAAAYABgBZAQAA7QUA&#10;AAAA&#10;">
              <v:fill on="f" focussize="0,0"/>
              <v:stroke color="#000000" joinstyle="round" startarrowwidth="narrow" startarrowlength="short" endarrowwidth="narrow" endarrowlength="short"/>
              <v:imagedata o:title=""/>
              <o:lock v:ext="edit" aspectratio="f"/>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CD3C3" w14:textId="14DCF7B1" w:rsidR="00F37CD0" w:rsidRPr="00683065" w:rsidRDefault="00683065">
    <w:pPr>
      <w:tabs>
        <w:tab w:val="left" w:pos="3675"/>
        <w:tab w:val="center" w:pos="4513"/>
        <w:tab w:val="right" w:pos="9026"/>
      </w:tabs>
      <w:ind w:right="45"/>
      <w:rPr>
        <w:rFonts w:ascii="Cambria" w:eastAsia="Cambria" w:hAnsi="Cambria" w:cs="Cambria"/>
        <w:b/>
        <w:color w:val="000000"/>
        <w:highlight w:val="white"/>
      </w:rPr>
    </w:pPr>
    <w:r w:rsidRPr="00683065">
      <w:rPr>
        <w:rFonts w:ascii="Cambria" w:eastAsia="Cambria" w:hAnsi="Cambria" w:cs="Cambria"/>
        <w:b/>
        <w:color w:val="000000"/>
        <w:highlight w:val="white"/>
      </w:rPr>
      <w:t xml:space="preserve">EL (Edu </w:t>
    </w:r>
    <w:proofErr w:type="gramStart"/>
    <w:r w:rsidRPr="00683065">
      <w:rPr>
        <w:rFonts w:ascii="Cambria" w:eastAsia="Cambria" w:hAnsi="Cambria" w:cs="Cambria"/>
        <w:b/>
        <w:color w:val="000000"/>
        <w:highlight w:val="white"/>
      </w:rPr>
      <w:t>Learning )</w:t>
    </w:r>
    <w:proofErr w:type="gramEnd"/>
    <w:r w:rsidRPr="00683065">
      <w:rPr>
        <w:rFonts w:ascii="Cambria" w:eastAsia="Cambria" w:hAnsi="Cambria" w:cs="Cambria"/>
        <w:b/>
        <w:color w:val="000000"/>
        <w:highlight w:val="white"/>
      </w:rPr>
      <w:t xml:space="preserve"> : Journal E</w:t>
    </w:r>
    <w:r>
      <w:rPr>
        <w:rFonts w:ascii="Cambria" w:eastAsia="Cambria" w:hAnsi="Cambria" w:cs="Cambria"/>
        <w:b/>
        <w:color w:val="000000"/>
        <w:highlight w:val="white"/>
      </w:rPr>
      <w:t>ducation and Learning</w:t>
    </w:r>
  </w:p>
  <w:p w14:paraId="48C4CB96" w14:textId="30463DDE" w:rsidR="00F37CD0" w:rsidRDefault="00000000">
    <w:pPr>
      <w:tabs>
        <w:tab w:val="left" w:pos="3675"/>
        <w:tab w:val="center" w:pos="4513"/>
        <w:tab w:val="right" w:pos="9026"/>
      </w:tabs>
      <w:ind w:right="45"/>
      <w:rPr>
        <w:rFonts w:ascii="Cambria" w:eastAsia="Cambria" w:hAnsi="Cambria" w:cs="Cambria"/>
        <w:color w:val="000000"/>
      </w:rPr>
    </w:pPr>
    <w:r>
      <w:rPr>
        <w:rFonts w:ascii="Cambria" w:eastAsia="Cambria" w:hAnsi="Cambria" w:cs="Cambria"/>
        <w:color w:val="000000"/>
      </w:rPr>
      <w:t xml:space="preserve">Vol. </w:t>
    </w:r>
    <w:r w:rsidR="00683065">
      <w:rPr>
        <w:rFonts w:ascii="Cambria" w:eastAsia="Cambria" w:hAnsi="Cambria" w:cs="Cambria"/>
        <w:color w:val="000000"/>
      </w:rPr>
      <w:t>1</w:t>
    </w:r>
    <w:r>
      <w:rPr>
        <w:rFonts w:ascii="Cambria" w:eastAsia="Cambria" w:hAnsi="Cambria" w:cs="Cambria"/>
        <w:color w:val="000000"/>
      </w:rPr>
      <w:t xml:space="preserve">, No. 1, </w:t>
    </w:r>
    <w:r w:rsidR="00683065">
      <w:rPr>
        <w:rFonts w:ascii="Cambria" w:eastAsia="Cambria" w:hAnsi="Cambria" w:cs="Cambria"/>
        <w:color w:val="000000"/>
      </w:rPr>
      <w:t>Juni</w:t>
    </w:r>
    <w:r>
      <w:rPr>
        <w:rFonts w:ascii="Cambria" w:eastAsia="Cambria" w:hAnsi="Cambria" w:cs="Cambria"/>
        <w:color w:val="000000"/>
      </w:rPr>
      <w:t xml:space="preserve"> 202</w:t>
    </w:r>
    <w:r w:rsidR="00683065">
      <w:rPr>
        <w:rFonts w:ascii="Cambria" w:eastAsia="Cambria" w:hAnsi="Cambria" w:cs="Cambria"/>
        <w:color w:val="000000"/>
      </w:rPr>
      <w:t>6</w:t>
    </w:r>
    <w:r>
      <w:rPr>
        <w:rFonts w:ascii="Cambria" w:eastAsia="Cambria" w:hAnsi="Cambria" w:cs="Cambria"/>
        <w:color w:val="000000"/>
      </w:rPr>
      <w:t>, pp. 1-</w:t>
    </w:r>
    <w:r>
      <w:rPr>
        <w:rFonts w:ascii="Cambria" w:eastAsia="Cambria" w:hAnsi="Cambria" w:cs="Cambria"/>
      </w:rPr>
      <w:t>8</w:t>
    </w:r>
  </w:p>
  <w:p w14:paraId="40C31B20" w14:textId="2C5E35E1" w:rsidR="00F37CD0" w:rsidRDefault="00000000">
    <w:pPr>
      <w:tabs>
        <w:tab w:val="left" w:pos="0"/>
        <w:tab w:val="center" w:pos="4301"/>
        <w:tab w:val="center" w:pos="4320"/>
        <w:tab w:val="left" w:pos="7938"/>
        <w:tab w:val="right" w:pos="8640"/>
        <w:tab w:val="right" w:pos="8789"/>
      </w:tabs>
      <w:rPr>
        <w:color w:val="000000"/>
      </w:rPr>
    </w:pPr>
    <w:r>
      <w:rPr>
        <w:rFonts w:ascii="Cambria" w:eastAsia="Cambria" w:hAnsi="Cambria" w:cs="Cambria"/>
        <w:color w:val="000000"/>
      </w:rPr>
      <w:t xml:space="preserve">E-ISSN: </w:t>
    </w:r>
    <w:proofErr w:type="spellStart"/>
    <w:r w:rsidR="00683065">
      <w:rPr>
        <w:rFonts w:ascii="Cambria" w:eastAsia="Cambria" w:hAnsi="Cambria" w:cs="Cambria"/>
        <w:color w:val="000000"/>
      </w:rPr>
      <w:t>xxxx</w:t>
    </w:r>
    <w:r>
      <w:rPr>
        <w:rFonts w:ascii="Cambria" w:eastAsia="Cambria" w:hAnsi="Cambria" w:cs="Cambria"/>
        <w:color w:val="000000"/>
      </w:rPr>
      <w:t>-</w:t>
    </w:r>
    <w:r w:rsidR="00683065">
      <w:rPr>
        <w:rFonts w:ascii="Cambria" w:eastAsia="Cambria" w:hAnsi="Cambria" w:cs="Cambria"/>
        <w:color w:val="000000"/>
      </w:rPr>
      <w:t>xxxx</w:t>
    </w:r>
    <w:proofErr w:type="spellEnd"/>
    <w:r>
      <w:rPr>
        <w:rFonts w:ascii="Cambria" w:eastAsia="Cambria" w:hAnsi="Cambria" w:cs="Cambria"/>
        <w:color w:val="000000"/>
      </w:rPr>
      <w:t>, DOI: https://doi.org/</w:t>
    </w:r>
    <w:r w:rsidR="00683065">
      <w:rPr>
        <w:rFonts w:ascii="Cambria" w:eastAsia="Cambria" w:hAnsi="Cambria" w:cs="Cambria"/>
        <w:color w:val="000000"/>
      </w:rPr>
      <w:t>.......................</w:t>
    </w:r>
    <w:r>
      <w:rPr>
        <w:color w:val="000000"/>
      </w:rPr>
      <w:tab/>
    </w:r>
    <w:r>
      <w:rPr>
        <w:color w:val="000000"/>
      </w:rPr>
      <w:fldChar w:fldCharType="begin"/>
    </w:r>
    <w:r>
      <w:rPr>
        <w:color w:val="000000"/>
      </w:rPr>
      <w:instrText>PAGE</w:instrText>
    </w:r>
    <w:r>
      <w:rPr>
        <w:color w:val="000000"/>
      </w:rPr>
      <w:fldChar w:fldCharType="separate"/>
    </w:r>
    <w:r w:rsidR="00FE5D7F">
      <w:rPr>
        <w:noProof/>
        <w:color w:val="000000"/>
      </w:rPr>
      <w:t>1</w:t>
    </w:r>
    <w:r>
      <w:rPr>
        <w:color w:val="000000"/>
      </w:rPr>
      <w:fldChar w:fldCharType="end"/>
    </w:r>
    <w:r>
      <w:rPr>
        <w:color w:val="000000"/>
      </w:rPr>
      <w:tab/>
    </w:r>
  </w:p>
  <w:p w14:paraId="17F4681B" w14:textId="77777777" w:rsidR="00F37CD0" w:rsidRDefault="00000000">
    <w:pPr>
      <w:tabs>
        <w:tab w:val="left" w:pos="0"/>
        <w:tab w:val="center" w:pos="4301"/>
        <w:tab w:val="center" w:pos="4320"/>
        <w:tab w:val="left" w:pos="7938"/>
        <w:tab w:val="right" w:pos="8640"/>
        <w:tab w:val="right" w:pos="8789"/>
      </w:tabs>
    </w:pPr>
    <w:r>
      <w:rPr>
        <w:noProof/>
      </w:rPr>
      <mc:AlternateContent>
        <mc:Choice Requires="wps">
          <w:drawing>
            <wp:anchor distT="0" distB="0" distL="114300" distR="114300" simplePos="0" relativeHeight="251658752" behindDoc="0" locked="0" layoutInCell="1" allowOverlap="1" wp14:anchorId="42541057" wp14:editId="2E03A6B5">
              <wp:simplePos x="0" y="0"/>
              <wp:positionH relativeFrom="column">
                <wp:posOffset>-12065</wp:posOffset>
              </wp:positionH>
              <wp:positionV relativeFrom="paragraph">
                <wp:posOffset>165100</wp:posOffset>
              </wp:positionV>
              <wp:extent cx="0" cy="12700"/>
              <wp:effectExtent l="0" t="0" r="0" b="0"/>
              <wp:wrapNone/>
              <wp:docPr id="1847200834" name="Straight Arrow Connector 1847200834"/>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0.95pt;margin-top:13pt;height:1pt;width:0pt;z-index:251659264;mso-width-relative:page;mso-height-relative:page;" filled="f" stroked="t" coordsize="21600,21600" o:gfxdata="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A/J4XF0wAAAAcB&#10;AAAPAAAAAAAAAAEAIAAAADgAAABkcnMvZG93bnJldi54bWxQSwECFAAUAAAACACHTuJAyYDdukMC&#10;AACqBAAADgAAAAAAAAABACAAAAA4AQAAZHJzL2Uyb0RvYy54bWxQSwUGAAAAAAYABgBZAQAA7QUA&#10;AAAA&#10;">
              <v:fill on="f" focussize="0,0"/>
              <v:stroke color="#000000" joinstyle="round" startarrowwidth="narrow" startarrowlength="short" endarrowwidth="narrow" endarrowlength="short"/>
              <v:imagedata o:title=""/>
              <o:lock v:ext="edit" aspectratio="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8F5DE6"/>
    <w:multiLevelType w:val="multilevel"/>
    <w:tmpl w:val="9E8F5DE6"/>
    <w:lvl w:ilvl="0">
      <w:start w:val="1"/>
      <w:numFmt w:val="decimal"/>
      <w:pStyle w:val="references"/>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F4D643FF"/>
    <w:multiLevelType w:val="multilevel"/>
    <w:tmpl w:val="F4D643FF"/>
    <w:lvl w:ilvl="0">
      <w:start w:val="1"/>
      <w:numFmt w:val="bullet"/>
      <w:pStyle w:val="yange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F8F9DFD3"/>
    <w:multiLevelType w:val="multilevel"/>
    <w:tmpl w:val="F8F9DFD3"/>
    <w:lvl w:ilvl="0">
      <w:start w:val="1"/>
      <w:numFmt w:val="decimal"/>
      <w:pStyle w:val="tablehead"/>
      <w:lvlText w:val="[%1]"/>
      <w:lvlJc w:val="left"/>
      <w:pPr>
        <w:ind w:left="360" w:hanging="360"/>
      </w:pPr>
      <w:rPr>
        <w:rFonts w:ascii="Times New Roman" w:eastAsia="Times New Roman" w:hAnsi="Times New Roman" w:cs="Times New Roman"/>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26976889">
    <w:abstractNumId w:val="1"/>
  </w:num>
  <w:num w:numId="2" w16cid:durableId="603877905">
    <w:abstractNumId w:val="0"/>
  </w:num>
  <w:num w:numId="3" w16cid:durableId="267080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evenAndOddHeaders/>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CD0"/>
    <w:rsid w:val="00040F29"/>
    <w:rsid w:val="001129D6"/>
    <w:rsid w:val="00122B34"/>
    <w:rsid w:val="001A27BB"/>
    <w:rsid w:val="001B6C12"/>
    <w:rsid w:val="00383289"/>
    <w:rsid w:val="003E7FB2"/>
    <w:rsid w:val="00683065"/>
    <w:rsid w:val="006E0A51"/>
    <w:rsid w:val="00727055"/>
    <w:rsid w:val="00754F06"/>
    <w:rsid w:val="007D3F1B"/>
    <w:rsid w:val="00BB79A0"/>
    <w:rsid w:val="00CC5E7B"/>
    <w:rsid w:val="00F37CD0"/>
    <w:rsid w:val="00FD0337"/>
    <w:rsid w:val="00FE5D7F"/>
    <w:rsid w:val="EEE701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349F9"/>
  <w15:docId w15:val="{D62D20F4-9BB8-CC47-839B-19C81BA8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1" w:qFormat="1"/>
    <w:lsdException w:name="header" w:uiPriority="99" w:qFormat="1"/>
    <w:lsdException w:name="footer" w:qFormat="1"/>
    <w:lsdException w:name="caption" w:qFormat="1"/>
    <w:lsdException w:name="footnote reference" w:semiHidden="1" w:qFormat="1"/>
    <w:lsdException w:name="page number" w:qFormat="1"/>
    <w:lsdException w:name="Lis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Body Text Indent 2" w:qFormat="1"/>
    <w:lsdException w:name="Body Text Indent 3" w:qFormat="1"/>
    <w:lsdException w:name="Hyperlink" w:qFormat="1"/>
    <w:lsdException w:name="Strong" w:qFormat="1"/>
    <w:lsdException w:name="Emphasis" w:uiPriority="20" w:qFormat="1"/>
    <w:lsdException w:name="Plain Text" w:semiHidden="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rPr>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qFormat/>
    <w:pPr>
      <w:spacing w:line="360" w:lineRule="auto"/>
      <w:ind w:left="456" w:firstLine="984"/>
      <w:jc w:val="both"/>
    </w:pPr>
    <w:rPr>
      <w:lang w:val="id-ID"/>
    </w:rPr>
  </w:style>
  <w:style w:type="paragraph" w:styleId="BodyTextIndent2">
    <w:name w:val="Body Text Indent 2"/>
    <w:basedOn w:val="Normal"/>
    <w:qFormat/>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character" w:styleId="FollowedHyperlink">
    <w:name w:val="FollowedHyperlink"/>
    <w:rPr>
      <w:color w:val="954F72"/>
      <w:u w:val="single"/>
    </w:rPr>
  </w:style>
  <w:style w:type="paragraph" w:styleId="Footer">
    <w:name w:val="footer"/>
    <w:basedOn w:val="Normal"/>
    <w:qFormat/>
    <w:pPr>
      <w:tabs>
        <w:tab w:val="center" w:pos="4320"/>
        <w:tab w:val="right" w:pos="8640"/>
      </w:tabs>
    </w:pPr>
  </w:style>
  <w:style w:type="character" w:styleId="FootnoteReference">
    <w:name w:val="footnote reference"/>
    <w:basedOn w:val="DefaultParagraphFont"/>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uiPriority w:val="99"/>
    <w:qFormat/>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qForma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qFormat/>
    <w:pPr>
      <w:spacing w:before="100" w:beforeAutospacing="1" w:after="100" w:afterAutospacing="1"/>
    </w:pPr>
    <w:rPr>
      <w:sz w:val="24"/>
      <w:szCs w:val="24"/>
    </w:rPr>
  </w:style>
  <w:style w:type="character" w:styleId="PageNumber">
    <w:name w:val="page number"/>
    <w:basedOn w:val="DefaultParagraphFont"/>
    <w:qFormat/>
  </w:style>
  <w:style w:type="paragraph" w:styleId="PlainText">
    <w:name w:val="Plain Text"/>
    <w:basedOn w:val="Normal"/>
    <w:semiHidden/>
    <w:qFormat/>
    <w:rPr>
      <w:rFonts w:ascii="Courier New" w:eastAsia="BatangChe" w:hAnsi="Courier New"/>
      <w:sz w:val="24"/>
      <w:szCs w:val="24"/>
    </w:rPr>
  </w:style>
  <w:style w:type="character" w:styleId="Strong">
    <w:name w:val="Strong"/>
    <w:basedOn w:val="DefaultParagraphFont"/>
    <w:qFormat/>
    <w:rPr>
      <w:rFonts w:cs="Times New Roman"/>
      <w:b/>
      <w:bCs/>
    </w:rPr>
  </w:style>
  <w:style w:type="paragraph" w:styleId="Subtitle">
    <w:name w:val="Subtitle"/>
    <w:basedOn w:val="Normal"/>
    <w:qFormat/>
    <w:pPr>
      <w:jc w:val="center"/>
    </w:pPr>
    <w:rPr>
      <w:b/>
      <w:sz w:val="32"/>
      <w:szCs w:val="32"/>
    </w:rPr>
  </w:style>
  <w:style w:type="table" w:styleId="TableGrid">
    <w:name w:val="Table Grid"/>
    <w:basedOn w:val="TableNormal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tblPr>
      <w:tblCellMar>
        <w:top w:w="0" w:type="dxa"/>
        <w:left w:w="0" w:type="dxa"/>
        <w:bottom w:w="0" w:type="dxa"/>
        <w:right w:w="0" w:type="dxa"/>
      </w:tblCellMar>
    </w:tblPr>
  </w:style>
  <w:style w:type="paragraph" w:styleId="Title">
    <w:name w:val="Title"/>
    <w:basedOn w:val="Normal"/>
    <w:next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lang w:val="en-US"/>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lang w:val="en-US"/>
    </w:rPr>
  </w:style>
  <w:style w:type="paragraph" w:customStyle="1" w:styleId="Affiliation">
    <w:name w:val="Affiliation"/>
    <w:qFormat/>
    <w:pPr>
      <w:jc w:val="center"/>
    </w:pPr>
    <w:rPr>
      <w:rFonts w:eastAsia="SimSun"/>
      <w:lang w:val="en-US"/>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lang w:val="en-US"/>
    </w:rPr>
  </w:style>
  <w:style w:type="paragraph" w:customStyle="1" w:styleId="papertitle">
    <w:name w:val="paper title"/>
    <w:qFormat/>
    <w:pPr>
      <w:spacing w:after="120"/>
      <w:jc w:val="center"/>
    </w:pPr>
    <w:rPr>
      <w:rFonts w:eastAsia="SimSun"/>
      <w:sz w:val="48"/>
      <w:lang w:val="en-US"/>
    </w:rPr>
  </w:style>
  <w:style w:type="paragraph" w:customStyle="1" w:styleId="references">
    <w:name w:val="references"/>
    <w:qFormat/>
    <w:pPr>
      <w:numPr>
        <w:numId w:val="2"/>
      </w:numPr>
      <w:spacing w:after="40" w:line="180" w:lineRule="exact"/>
      <w:jc w:val="both"/>
    </w:pPr>
    <w:rPr>
      <w:rFonts w:eastAsia="SimSun"/>
      <w:sz w:val="16"/>
      <w:lang w:val="en-US"/>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lang w:val="en-US"/>
    </w:rPr>
  </w:style>
  <w:style w:type="paragraph" w:customStyle="1" w:styleId="tablehead">
    <w:name w:val="table head"/>
    <w:qFormat/>
    <w:pPr>
      <w:numPr>
        <w:numId w:val="3"/>
      </w:numPr>
      <w:spacing w:before="240" w:after="120" w:line="216" w:lineRule="auto"/>
      <w:jc w:val="center"/>
    </w:pPr>
    <w:rPr>
      <w:rFonts w:eastAsia="SimSun"/>
      <w:smallCaps/>
      <w:sz w:val="16"/>
      <w:lang w:val="en-US"/>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qFormat/>
    <w:pPr>
      <w:spacing w:after="200" w:line="276" w:lineRule="auto"/>
      <w:ind w:left="720"/>
      <w:contextualSpacing/>
    </w:pPr>
    <w:rPr>
      <w:sz w:val="22"/>
      <w:szCs w:val="22"/>
      <w:lang w:val="en-GB" w:eastAsia="en-GB"/>
    </w:rPr>
  </w:style>
  <w:style w:type="paragraph" w:styleId="NoSpacing">
    <w:name w:val="No Spacing"/>
    <w:qFormat/>
    <w:rPr>
      <w:sz w:val="22"/>
      <w:szCs w:val="22"/>
      <w:lang w:val="en-US"/>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qForma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style>
  <w:style w:type="table" w:customStyle="1" w:styleId="Style94">
    <w:name w:val="_Style 94"/>
    <w:basedOn w:val="TableNormal1"/>
    <w:qFormat/>
    <w:tblPr>
      <w:tblCellMar>
        <w:left w:w="108" w:type="dxa"/>
        <w:right w:w="108" w:type="dxa"/>
      </w:tblCellMar>
    </w:tblPr>
  </w:style>
  <w:style w:type="table" w:customStyle="1" w:styleId="Style95">
    <w:name w:val="_Style 95"/>
    <w:basedOn w:val="TableNormal1"/>
    <w:qFormat/>
    <w:tblPr>
      <w:tblCellMar>
        <w:left w:w="108" w:type="dxa"/>
        <w:right w:w="108" w:type="dxa"/>
      </w:tblCellMar>
    </w:tblPr>
  </w:style>
  <w:style w:type="table" w:customStyle="1" w:styleId="Style96">
    <w:name w:val="_Style 96"/>
    <w:basedOn w:val="TableNormal1"/>
    <w:qFormat/>
    <w:tblPr>
      <w:tblCellMar>
        <w:left w:w="108" w:type="dxa"/>
        <w:right w:w="108" w:type="dxa"/>
      </w:tblCellMar>
    </w:tblPr>
  </w:style>
  <w:style w:type="table" w:customStyle="1" w:styleId="Style97">
    <w:name w:val="_Style 97"/>
    <w:basedOn w:val="TableNormal1"/>
    <w:qFormat/>
    <w:tblPr>
      <w:tblCellMar>
        <w:left w:w="115" w:type="dxa"/>
        <w:right w:w="115" w:type="dxa"/>
      </w:tblCellMar>
    </w:tblPr>
  </w:style>
  <w:style w:type="paragraph" w:customStyle="1" w:styleId="msolistparagraph0">
    <w:name w:val="msolistparagraph"/>
    <w:pPr>
      <w:ind w:left="720"/>
      <w:contextualSpacing/>
    </w:pPr>
    <w:rPr>
      <w:rFonts w:hint="eastAsia"/>
      <w:kern w:val="2"/>
      <w:sz w:val="24"/>
      <w:szCs w:val="24"/>
      <w:lang w:val="en-US" w:eastAsia="zh-CN"/>
    </w:rPr>
  </w:style>
  <w:style w:type="character" w:styleId="UnresolvedMention">
    <w:name w:val="Unresolved Mention"/>
    <w:basedOn w:val="DefaultParagraphFont"/>
    <w:uiPriority w:val="99"/>
    <w:semiHidden/>
    <w:unhideWhenUsed/>
    <w:rsid w:val="00BB79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766626">
      <w:bodyDiv w:val="1"/>
      <w:marLeft w:val="0"/>
      <w:marRight w:val="0"/>
      <w:marTop w:val="0"/>
      <w:marBottom w:val="0"/>
      <w:divBdr>
        <w:top w:val="none" w:sz="0" w:space="0" w:color="auto"/>
        <w:left w:val="none" w:sz="0" w:space="0" w:color="auto"/>
        <w:bottom w:val="none" w:sz="0" w:space="0" w:color="auto"/>
        <w:right w:val="none" w:sz="0" w:space="0" w:color="auto"/>
      </w:divBdr>
    </w:div>
    <w:div w:id="360673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damcova.petra96@gmail.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3015</Words>
  <Characters>17192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IJERE</dc:creator>
  <cp:lastModifiedBy>jalaludin rumi</cp:lastModifiedBy>
  <cp:revision>3</cp:revision>
  <dcterms:created xsi:type="dcterms:W3CDTF">2026-07-23T19:22:00Z</dcterms:created>
  <dcterms:modified xsi:type="dcterms:W3CDTF">2026-07-23T19:30:00Z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1033-5.1.0.7912</vt:lpwstr>
  </property>
</Properties>
</file>